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5" w:type="dxa"/>
        <w:tblCellSpacing w:w="15" w:type="dxa"/>
        <w:shd w:val="clear" w:color="auto" w:fill="FFFFFF"/>
        <w:tblCellMar>
          <w:top w:w="15" w:type="dxa"/>
          <w:left w:w="75" w:type="dxa"/>
          <w:bottom w:w="15" w:type="dxa"/>
          <w:right w:w="75" w:type="dxa"/>
        </w:tblCellMar>
        <w:tblLook w:val="04A0" w:firstRow="1" w:lastRow="0" w:firstColumn="1" w:lastColumn="0" w:noHBand="0" w:noVBand="1"/>
      </w:tblPr>
      <w:tblGrid>
        <w:gridCol w:w="8688"/>
        <w:gridCol w:w="186"/>
        <w:gridCol w:w="201"/>
      </w:tblGrid>
      <w:tr w:rsidR="00C53D3A" w:rsidRPr="00C53D3A" w:rsidTr="00C53D3A">
        <w:trPr>
          <w:tblCellSpacing w:w="15" w:type="dxa"/>
        </w:trPr>
        <w:tc>
          <w:tcPr>
            <w:tcW w:w="5000" w:type="pct"/>
            <w:shd w:val="clear" w:color="auto" w:fill="FFFFFF"/>
            <w:vAlign w:val="center"/>
            <w:hideMark/>
          </w:tcPr>
          <w:p w:rsidR="00C53D3A" w:rsidRPr="00C53D3A" w:rsidRDefault="00C53D3A" w:rsidP="00C53D3A">
            <w:pPr>
              <w:spacing w:after="75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38"/>
                <w:szCs w:val="38"/>
                <w:lang w:eastAsia="ru-RU"/>
              </w:rPr>
            </w:pPr>
            <w:r w:rsidRPr="00C53D3A">
              <w:rPr>
                <w:rFonts w:ascii="Verdana" w:eastAsia="Times New Roman" w:hAnsi="Verdana" w:cs="Times New Roman"/>
                <w:b/>
                <w:bCs/>
                <w:color w:val="000000"/>
                <w:sz w:val="38"/>
                <w:szCs w:val="38"/>
                <w:lang w:eastAsia="ru-RU"/>
              </w:rPr>
              <w:t xml:space="preserve">Кредиторов обязали предупреждать заемщиков о рисках </w:t>
            </w:r>
            <w:proofErr w:type="spellStart"/>
            <w:r w:rsidRPr="00C53D3A">
              <w:rPr>
                <w:rFonts w:ascii="Verdana" w:eastAsia="Times New Roman" w:hAnsi="Verdana" w:cs="Times New Roman"/>
                <w:b/>
                <w:bCs/>
                <w:color w:val="000000"/>
                <w:sz w:val="38"/>
                <w:szCs w:val="38"/>
                <w:lang w:eastAsia="ru-RU"/>
              </w:rPr>
              <w:t>закредитованности</w:t>
            </w:r>
            <w:proofErr w:type="spellEnd"/>
          </w:p>
        </w:tc>
        <w:tc>
          <w:tcPr>
            <w:tcW w:w="5000" w:type="pct"/>
            <w:shd w:val="clear" w:color="auto" w:fill="FFFFFF"/>
            <w:vAlign w:val="center"/>
            <w:hideMark/>
          </w:tcPr>
          <w:p w:rsidR="00C53D3A" w:rsidRPr="00C53D3A" w:rsidRDefault="00C53D3A" w:rsidP="00C53D3A">
            <w:pPr>
              <w:spacing w:after="75" w:line="240" w:lineRule="auto"/>
              <w:jc w:val="right"/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</w:pPr>
          </w:p>
        </w:tc>
        <w:tc>
          <w:tcPr>
            <w:tcW w:w="5000" w:type="pct"/>
            <w:shd w:val="clear" w:color="auto" w:fill="FFFFFF"/>
            <w:vAlign w:val="center"/>
            <w:hideMark/>
          </w:tcPr>
          <w:p w:rsidR="00C53D3A" w:rsidRPr="00C53D3A" w:rsidRDefault="00C53D3A" w:rsidP="00C53D3A">
            <w:pPr>
              <w:spacing w:after="75" w:line="240" w:lineRule="auto"/>
              <w:jc w:val="right"/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</w:pPr>
          </w:p>
        </w:tc>
      </w:tr>
    </w:tbl>
    <w:p w:rsidR="00C53D3A" w:rsidRPr="00C53D3A" w:rsidRDefault="00C53D3A" w:rsidP="00C53D3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9075" w:type="dxa"/>
        <w:tblCellSpacing w:w="15" w:type="dxa"/>
        <w:shd w:val="clear" w:color="auto" w:fill="FFFFFF"/>
        <w:tblCellMar>
          <w:top w:w="15" w:type="dxa"/>
          <w:left w:w="75" w:type="dxa"/>
          <w:bottom w:w="15" w:type="dxa"/>
          <w:right w:w="75" w:type="dxa"/>
        </w:tblCellMar>
        <w:tblLook w:val="04A0" w:firstRow="1" w:lastRow="0" w:firstColumn="1" w:lastColumn="0" w:noHBand="0" w:noVBand="1"/>
      </w:tblPr>
      <w:tblGrid>
        <w:gridCol w:w="9075"/>
      </w:tblGrid>
      <w:tr w:rsidR="00C53D3A" w:rsidRPr="00C53D3A" w:rsidTr="00C53D3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53D3A" w:rsidRPr="00C53D3A" w:rsidRDefault="00C53D3A" w:rsidP="00C53D3A">
            <w:pPr>
              <w:spacing w:after="75" w:line="240" w:lineRule="auto"/>
              <w:ind w:left="1545"/>
              <w:rPr>
                <w:rFonts w:ascii="Vedana" w:eastAsia="Times New Roman" w:hAnsi="Vedana" w:cs="Times New Roman"/>
                <w:color w:val="8C8C8C"/>
                <w:sz w:val="18"/>
                <w:szCs w:val="18"/>
                <w:lang w:eastAsia="ru-RU"/>
              </w:rPr>
            </w:pPr>
          </w:p>
        </w:tc>
      </w:tr>
      <w:tr w:rsidR="00C53D3A" w:rsidRPr="00C53D3A" w:rsidTr="00C53D3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53D3A" w:rsidRPr="00C53D3A" w:rsidRDefault="00C53D3A" w:rsidP="00645A13">
            <w:pPr>
              <w:spacing w:after="240" w:line="240" w:lineRule="auto"/>
              <w:jc w:val="both"/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</w:pPr>
            <w:r w:rsidRPr="00C53D3A"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  <w:t xml:space="preserve">Банки и </w:t>
            </w:r>
            <w:proofErr w:type="spellStart"/>
            <w:r w:rsidRPr="00C53D3A"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  <w:t>микрофинансовые</w:t>
            </w:r>
            <w:proofErr w:type="spellEnd"/>
            <w:r w:rsidRPr="00C53D3A"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  <w:t xml:space="preserve"> организации с 1 января 2024 года должны при кредитовании граждан письменно </w:t>
            </w:r>
            <w:bookmarkStart w:id="0" w:name="_GoBack"/>
            <w:bookmarkEnd w:id="0"/>
            <w:r w:rsidRPr="00C53D3A"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  <w:t>уведомлять их о возможных затруднениях с обслуживанием долга и последующих штрафных санкциях, если на выплаты будет уходить более 50% доходов. Это поможет заемщикам принимать взвешенные решения при получении кредита или займа.</w:t>
            </w:r>
          </w:p>
          <w:p w:rsidR="00C53D3A" w:rsidRPr="00C53D3A" w:rsidRDefault="00C53D3A" w:rsidP="00645A13">
            <w:pPr>
              <w:spacing w:after="240" w:line="240" w:lineRule="auto"/>
              <w:jc w:val="both"/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</w:pPr>
            <w:r w:rsidRPr="00C53D3A"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  <w:t>Обязанность кредиторов рассчитывать показатель долговой нагрузки заемщика теперь распространяется даже на кредиты и займы до 10 тыс. рублей, а также на случаи:</w:t>
            </w:r>
          </w:p>
          <w:p w:rsidR="00C53D3A" w:rsidRPr="00C53D3A" w:rsidRDefault="00C53D3A" w:rsidP="00645A13">
            <w:pPr>
              <w:spacing w:after="240" w:line="240" w:lineRule="auto"/>
              <w:jc w:val="both"/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</w:pPr>
            <w:r w:rsidRPr="00C53D3A"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  <w:t>увеличения лимита по кредитной карте или продления договора по ее использованию;</w:t>
            </w:r>
          </w:p>
          <w:p w:rsidR="00C53D3A" w:rsidRPr="00C53D3A" w:rsidRDefault="00C53D3A" w:rsidP="00645A13">
            <w:pPr>
              <w:spacing w:after="240" w:line="240" w:lineRule="auto"/>
              <w:jc w:val="both"/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</w:pPr>
            <w:r w:rsidRPr="00C53D3A"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  <w:t>увеличения среднемесячного платежа по действующему кредиту или займу;</w:t>
            </w:r>
          </w:p>
          <w:p w:rsidR="00C53D3A" w:rsidRPr="00C53D3A" w:rsidRDefault="00C53D3A" w:rsidP="00645A13">
            <w:pPr>
              <w:spacing w:after="240" w:line="240" w:lineRule="auto"/>
              <w:jc w:val="both"/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</w:pPr>
            <w:r w:rsidRPr="00C53D3A"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  <w:t>непогашения заемщиком, получившим рефинансирование, имевшегося у него ранее долга.</w:t>
            </w:r>
          </w:p>
          <w:p w:rsidR="00C53D3A" w:rsidRPr="00C53D3A" w:rsidRDefault="00C53D3A" w:rsidP="00645A13">
            <w:pPr>
              <w:spacing w:after="240" w:line="240" w:lineRule="auto"/>
              <w:jc w:val="both"/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</w:pPr>
            <w:r w:rsidRPr="00C53D3A"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  <w:t>Исключения предусмотрены, когда заемщик обращается за кредитными каникулами или когда увеличение среднемесячного платежа обусловлено событиями, указанными в договоре. Например, не требуется рассчитывать ПДН, если при отказе заемщика от продления страховки повышается процентная ставка по кредиту.</w:t>
            </w:r>
          </w:p>
        </w:tc>
      </w:tr>
    </w:tbl>
    <w:p w:rsidR="005F6D85" w:rsidRDefault="005F6D85"/>
    <w:sectPr w:rsidR="005F6D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Vedan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4B9"/>
    <w:rsid w:val="005F6D85"/>
    <w:rsid w:val="00645A13"/>
    <w:rsid w:val="00A874B9"/>
    <w:rsid w:val="00C53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D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3D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D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3D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026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932</Characters>
  <Application>Microsoft Office Word</Application>
  <DocSecurity>0</DocSecurity>
  <Lines>7</Lines>
  <Paragraphs>2</Paragraphs>
  <ScaleCrop>false</ScaleCrop>
  <Company>SPecialiST RePack</Company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USER</cp:lastModifiedBy>
  <cp:revision>5</cp:revision>
  <dcterms:created xsi:type="dcterms:W3CDTF">2024-03-03T18:13:00Z</dcterms:created>
  <dcterms:modified xsi:type="dcterms:W3CDTF">2024-03-04T06:50:00Z</dcterms:modified>
</cp:coreProperties>
</file>