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10" w:rsidRPr="00D24C42" w:rsidRDefault="00334210" w:rsidP="00334210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Установлен порядок и случаи прекращения обременения объектов речного порта обязательством по использованию в целях обслуживания пассажиров и судов, погрузки, выгрузки, приема, хранения и выдачи грузов, взаимодействия с другими видами транспорта, а также изменения его условий</w:t>
      </w:r>
    </w:p>
    <w:p w:rsidR="00334210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  <w:shd w:val="clear" w:color="auto" w:fill="FFFFFF"/>
        </w:rPr>
      </w:pPr>
    </w:p>
    <w:p w:rsidR="00334210" w:rsidRPr="00D24C42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hyperlink r:id="rId5" w:tgtFrame="_blank" w:history="1">
        <w:r w:rsidRPr="00D24C42">
          <w:rPr>
            <w:rStyle w:val="a4"/>
            <w:sz w:val="28"/>
            <w:szCs w:val="28"/>
          </w:rPr>
          <w:t>Постановлением Правительства РФ от 21.04.2021 № 628 утверждено Положение о порядке и случаях прекращения обременения объектов речного порта обязательством по использованию в целях обслуживания пассажиров и судов, погрузки, выгрузки, приема, хранения и выдачи грузов, взаимодействия с другими видами транспорта, а также изменения его условий.</w:t>
        </w:r>
      </w:hyperlink>
    </w:p>
    <w:p w:rsidR="00334210" w:rsidRPr="00D24C42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Обременение объекта речного порта может быть прекращено или условия такого обременения могут быть изменены в следующих случаях, предусмотренных пунктом 7 статьи 31 Федерального закона "О приватизации государственного и муниципального имущества":</w:t>
      </w:r>
    </w:p>
    <w:p w:rsidR="00334210" w:rsidRPr="00D24C42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отсутствие или изменение государственного либо общественного интереса в обременении объекта речного порта;</w:t>
      </w:r>
    </w:p>
    <w:p w:rsidR="00334210" w:rsidRPr="00D24C42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невозможность или существенное затруднение использования объекта речного порта по его прямому назначению.</w:t>
      </w:r>
    </w:p>
    <w:p w:rsidR="00334210" w:rsidRPr="00D24C42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 xml:space="preserve">В целях прекращения обременения объекта речного порта (изменения условий обременения) собственник либо его уполномоченный представитель вправе представить в </w:t>
      </w:r>
      <w:proofErr w:type="spellStart"/>
      <w:r w:rsidRPr="00D24C42">
        <w:rPr>
          <w:sz w:val="28"/>
          <w:szCs w:val="28"/>
          <w:shd w:val="clear" w:color="auto" w:fill="FFFFFF"/>
        </w:rPr>
        <w:t>Росморречфлот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 заявление и необходимые документы.</w:t>
      </w:r>
    </w:p>
    <w:p w:rsidR="00334210" w:rsidRPr="00D24C42" w:rsidRDefault="00334210" w:rsidP="003342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Установлена процедура рассмотрения заявления и документов, принятия решения о прекращении обременения (об изменении условий обременения) или решения об отказе в прекращении обременения (изменении условий обременения).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323"/>
    <w:rsid w:val="002D6323"/>
    <w:rsid w:val="00334210"/>
    <w:rsid w:val="006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4210"/>
    <w:pPr>
      <w:spacing w:before="100" w:beforeAutospacing="1" w:after="100" w:afterAutospacing="1"/>
    </w:pPr>
  </w:style>
  <w:style w:type="character" w:styleId="a4">
    <w:name w:val="Hyperlink"/>
    <w:basedOn w:val="a0"/>
    <w:rsid w:val="00334210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334210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4210"/>
    <w:pPr>
      <w:spacing w:before="100" w:beforeAutospacing="1" w:after="100" w:afterAutospacing="1"/>
    </w:pPr>
  </w:style>
  <w:style w:type="character" w:styleId="a4">
    <w:name w:val="Hyperlink"/>
    <w:basedOn w:val="a0"/>
    <w:rsid w:val="00334210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334210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738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2021-04-30T05:09:00Z</dcterms:created>
  <dcterms:modified xsi:type="dcterms:W3CDTF">2021-04-30T05:10:00Z</dcterms:modified>
</cp:coreProperties>
</file>