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6E" w:rsidRPr="00AE5F6E" w:rsidRDefault="00F2453D" w:rsidP="00B53773">
      <w:pPr>
        <w:jc w:val="both"/>
        <w:rPr>
          <w:rFonts w:ascii="PT Astra Serif" w:hAnsi="PT Astra Serif"/>
          <w:lang w:eastAsia="ru-RU"/>
        </w:rPr>
      </w:pPr>
      <w:bookmarkStart w:id="0" w:name="_GoBack"/>
      <w:bookmarkEnd w:id="0"/>
      <w:r>
        <w:rPr>
          <w:i/>
          <w:sz w:val="28"/>
          <w:szCs w:val="28"/>
        </w:rPr>
        <w:t xml:space="preserve">    </w:t>
      </w:r>
      <w:r w:rsidR="00B53773">
        <w:rPr>
          <w:i/>
          <w:sz w:val="28"/>
          <w:szCs w:val="28"/>
        </w:rPr>
        <w:t xml:space="preserve">                                                                                                 </w:t>
      </w:r>
      <w:r w:rsidR="00AE5F6E" w:rsidRPr="00AE5F6E">
        <w:rPr>
          <w:lang w:eastAsia="ru-RU"/>
        </w:rPr>
        <w:t xml:space="preserve">  </w:t>
      </w:r>
      <w:r w:rsidR="00AE5F6E" w:rsidRPr="00AE5F6E">
        <w:rPr>
          <w:rFonts w:ascii="PT Astra Serif" w:hAnsi="PT Astra Serif"/>
          <w:lang w:eastAsia="ru-RU"/>
        </w:rPr>
        <w:t>Приложение № 1</w:t>
      </w:r>
    </w:p>
    <w:p w:rsidR="00AE5F6E" w:rsidRPr="00AE5F6E" w:rsidRDefault="00AE5F6E" w:rsidP="00AE5F6E">
      <w:pPr>
        <w:ind w:firstLine="709"/>
        <w:jc w:val="both"/>
        <w:rPr>
          <w:rFonts w:ascii="PT Astra Serif" w:hAnsi="PT Astra Serif"/>
          <w:lang w:eastAsia="ru-RU"/>
        </w:rPr>
      </w:pPr>
    </w:p>
    <w:p w:rsidR="00AE5F6E" w:rsidRPr="00AE5F6E" w:rsidRDefault="00AE5F6E" w:rsidP="00AE5F6E">
      <w:pPr>
        <w:tabs>
          <w:tab w:val="left" w:pos="11482"/>
        </w:tabs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5F6E">
        <w:rPr>
          <w:rFonts w:ascii="PT Astra Serif" w:hAnsi="PT Astra Serif"/>
          <w:b/>
          <w:bCs/>
          <w:sz w:val="28"/>
          <w:szCs w:val="28"/>
          <w:lang w:eastAsia="ru-RU"/>
        </w:rPr>
        <w:t>Основные показатели деятельности</w:t>
      </w:r>
    </w:p>
    <w:p w:rsidR="00AE5F6E" w:rsidRPr="00AE5F6E" w:rsidRDefault="00AE5F6E" w:rsidP="00AE5F6E">
      <w:pPr>
        <w:tabs>
          <w:tab w:val="left" w:pos="11482"/>
        </w:tabs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AE5F6E">
        <w:rPr>
          <w:rFonts w:ascii="PT Astra Serif" w:hAnsi="PT Astra Serif"/>
          <w:b/>
          <w:bCs/>
          <w:sz w:val="28"/>
          <w:szCs w:val="28"/>
          <w:lang w:eastAsia="ru-RU"/>
        </w:rPr>
        <w:t>муниципального контрольно-счетного органа</w:t>
      </w:r>
    </w:p>
    <w:p w:rsidR="00AE5F6E" w:rsidRPr="00AE5F6E" w:rsidRDefault="00AE162C" w:rsidP="00AE5F6E">
      <w:pPr>
        <w:tabs>
          <w:tab w:val="left" w:pos="11482"/>
        </w:tabs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  <w:lang w:eastAsia="ru-RU"/>
        </w:rPr>
        <w:t>за 202</w:t>
      </w:r>
      <w:r w:rsidR="00D828A5">
        <w:rPr>
          <w:rFonts w:ascii="PT Astra Serif" w:hAnsi="PT Astra Serif"/>
          <w:b/>
          <w:bCs/>
          <w:sz w:val="28"/>
          <w:szCs w:val="28"/>
          <w:lang w:eastAsia="ru-RU"/>
        </w:rPr>
        <w:t>3</w:t>
      </w:r>
      <w:r w:rsidR="00AE5F6E" w:rsidRPr="00AE5F6E">
        <w:rPr>
          <w:rFonts w:ascii="PT Astra Serif" w:hAnsi="PT Astra Serif"/>
          <w:b/>
          <w:bCs/>
          <w:sz w:val="28"/>
          <w:szCs w:val="28"/>
          <w:lang w:eastAsia="ru-RU"/>
        </w:rPr>
        <w:t xml:space="preserve"> год</w:t>
      </w:r>
    </w:p>
    <w:p w:rsidR="00AE5F6E" w:rsidRPr="00AE5F6E" w:rsidRDefault="00AE5F6E" w:rsidP="00AE5F6E">
      <w:pPr>
        <w:tabs>
          <w:tab w:val="left" w:pos="11482"/>
        </w:tabs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tbl>
      <w:tblPr>
        <w:tblW w:w="9790" w:type="dxa"/>
        <w:tblInd w:w="118" w:type="dxa"/>
        <w:tblLook w:val="00A0" w:firstRow="1" w:lastRow="0" w:firstColumn="1" w:lastColumn="0" w:noHBand="0" w:noVBand="0"/>
      </w:tblPr>
      <w:tblGrid>
        <w:gridCol w:w="890"/>
        <w:gridCol w:w="166"/>
        <w:gridCol w:w="1554"/>
        <w:gridCol w:w="3577"/>
        <w:gridCol w:w="3636"/>
      </w:tblGrid>
      <w:tr w:rsidR="00AE5F6E" w:rsidRPr="00AE5F6E" w:rsidTr="00A231D7">
        <w:trPr>
          <w:trHeight w:val="24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Cs/>
                <w:lang w:eastAsia="ru-RU"/>
              </w:rPr>
            </w:pPr>
            <w:r w:rsidRPr="00AE5F6E">
              <w:rPr>
                <w:rFonts w:ascii="PT Astra Serif" w:hAnsi="PT Astra Serif"/>
                <w:iCs/>
                <w:lang w:eastAsia="ru-RU"/>
              </w:rPr>
              <w:t>Оренбургская область, город Бузулук</w:t>
            </w:r>
          </w:p>
        </w:tc>
      </w:tr>
      <w:tr w:rsidR="00AE5F6E" w:rsidRPr="00AE5F6E" w:rsidTr="00A231D7">
        <w:trPr>
          <w:trHeight w:val="27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</w:tr>
      <w:tr w:rsidR="00AE5F6E" w:rsidRPr="00AE5F6E" w:rsidTr="00A231D7">
        <w:trPr>
          <w:trHeight w:val="30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Cs/>
                <w:lang w:eastAsia="ru-RU"/>
              </w:rPr>
            </w:pPr>
            <w:r w:rsidRPr="00AE5F6E">
              <w:rPr>
                <w:rFonts w:ascii="PT Astra Serif" w:hAnsi="PT Astra Serif"/>
                <w:iCs/>
                <w:lang w:eastAsia="ru-RU"/>
              </w:rPr>
              <w:t>Контрольно – счетная палата город Бузулук</w:t>
            </w:r>
          </w:p>
        </w:tc>
      </w:tr>
      <w:tr w:rsidR="00AE5F6E" w:rsidRPr="00AE5F6E" w:rsidTr="00A231D7">
        <w:trPr>
          <w:trHeight w:val="72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lang w:eastAsia="ru-RU"/>
              </w:rPr>
              <w:t>1. Правовой статус МКСО, численность и профессиональная подготовка сотрудников</w:t>
            </w:r>
          </w:p>
        </w:tc>
      </w:tr>
      <w:tr w:rsidR="00AE5F6E" w:rsidRPr="00AE5F6E" w:rsidTr="00A231D7">
        <w:trPr>
          <w:trHeight w:val="31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1.1.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КСО со статусом юридического лица (1 - юр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.л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>ицо, 0 - не юр.лицо)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69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1.2.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КСО в структуре представительного органа муниципального образования (1 - да, 0 - нет)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B53773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0</w:t>
            </w:r>
          </w:p>
        </w:tc>
      </w:tr>
      <w:tr w:rsidR="00AE5F6E" w:rsidRPr="00AE5F6E" w:rsidTr="00A231D7">
        <w:trPr>
          <w:trHeight w:val="58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46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1.3.1.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имеющих высшее профессиональное образование,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43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1.3.2.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имеющих средне-специальное образование,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102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1.4.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Численность сотрудников, прошедших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обучение по программе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профессионального развития (повышения квалификации) за последние три года,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31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1.4.1.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том числе в отчётном году, чел.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E5F6E" w:rsidRPr="00AE5F6E" w:rsidRDefault="00AE5F6E" w:rsidP="00AE5F6E">
            <w:pPr>
              <w:spacing w:before="120" w:after="12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lang w:eastAsia="ru-RU"/>
              </w:rPr>
              <w:t>2. Результаты деятельности МКСО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Проведено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и ЭАМ,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537561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  <w:r w:rsidR="00D828A5"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ЭАМ, ед.</w:t>
            </w:r>
            <w:r w:rsidRPr="00AE5F6E">
              <w:rPr>
                <w:rFonts w:ascii="PT Astra Serif" w:hAnsi="PT Astra Serif"/>
                <w:b/>
                <w:bCs/>
                <w:i/>
                <w:iCs/>
                <w:color w:val="000000"/>
                <w:lang w:eastAsia="ru-RU"/>
              </w:rPr>
              <w:t>*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537561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  <w:r w:rsidR="00D828A5">
              <w:rPr>
                <w:rFonts w:ascii="PT Astra Serif" w:hAnsi="PT Astra Serif"/>
                <w:color w:val="000000"/>
                <w:lang w:eastAsia="ru-RU"/>
              </w:rPr>
              <w:t>5</w:t>
            </w:r>
          </w:p>
        </w:tc>
      </w:tr>
      <w:tr w:rsidR="00AE5F6E" w:rsidRPr="00AE5F6E" w:rsidTr="00A231D7">
        <w:trPr>
          <w:trHeight w:val="915"/>
        </w:trPr>
        <w:tc>
          <w:tcPr>
            <w:tcW w:w="261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в том числе по всем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 и ЭАМ: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аудитов в сфере закупок (в т.ч. мероприятий с элементами аудита в сфере закупок),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</w:tr>
      <w:tr w:rsidR="00AE5F6E" w:rsidRPr="00AE5F6E" w:rsidTr="00A231D7">
        <w:trPr>
          <w:trHeight w:val="73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аудитов эффективности (в т.ч. мероприятий с элементами аудита эффективности),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7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внешних проверок отчетности ГАБС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</w:t>
            </w:r>
          </w:p>
        </w:tc>
      </w:tr>
      <w:tr w:rsidR="00AE5F6E" w:rsidRPr="00AE5F6E" w:rsidTr="00A231D7">
        <w:trPr>
          <w:trHeight w:val="64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 xml:space="preserve">Проведено </w:t>
            </w:r>
            <w:proofErr w:type="gramStart"/>
            <w:r w:rsidRPr="00AE5F6E">
              <w:rPr>
                <w:rFonts w:ascii="PT Astra Serif" w:hAnsi="PT Astra Serif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lang w:eastAsia="ru-RU"/>
              </w:rPr>
              <w:t xml:space="preserve"> и ЭАМ на основании: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поручений представительного органа МО,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52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предложений и запросов главы МО,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9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запросов правоохранительных органов, органов прокуратуры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lastRenderedPageBreak/>
              <w:t>2.5.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Подготовлено экспертных заключений на проекты решений представительных органов о бюджете МО,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60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2.5.1.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об исполнении местного бюджета за очередной отчетный год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Подготовлено экспертных заключений по результатам финансово-экономической экспертизы,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C01C2A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проектов муниципальных правовых актов (за исключением муниципальных программ),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муниципальных программ,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C01C2A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2.7.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6293277,3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2.7.1.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объем проверенных бюджетных средств, тыс. руб.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6293277,3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Объемы финансовых нарушений, выявленных КСО (без неэффективного использования средств), всего,  тыс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291262,7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нецелевое использование бюджетных средств,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0399D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при формировании и исполнении бюджетов,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285533,8</w:t>
            </w:r>
          </w:p>
        </w:tc>
      </w:tr>
      <w:tr w:rsidR="00AE5F6E" w:rsidRPr="00AE5F6E" w:rsidTr="00A231D7">
        <w:trPr>
          <w:trHeight w:val="945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ведения бухгалтерского учета, составления и предоставления бухгалтерской (финансовой) отчетности,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111,8</w:t>
            </w:r>
          </w:p>
        </w:tc>
      </w:tr>
      <w:tr w:rsidR="00AE5F6E" w:rsidRPr="00AE5F6E" w:rsidTr="00A231D7">
        <w:trPr>
          <w:trHeight w:val="78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в сфере управления и распоряжения муниципальной собственностью,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при осуществлении муниципальных закупок и закупок отдельными видами юридических лиц,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иные нарушения,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4622,1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2.9.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Выявлено неэффективное использование бюджетных средств,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D828A5" w:rsidRDefault="00D828A5" w:rsidP="00B53773">
            <w:pPr>
              <w:jc w:val="center"/>
              <w:rPr>
                <w:rFonts w:ascii="PT Astra Serif" w:hAnsi="PT Astra Serif"/>
                <w:color w:val="FF0000"/>
                <w:lang w:eastAsia="ru-RU"/>
              </w:rPr>
            </w:pPr>
            <w:r w:rsidRPr="00D828A5">
              <w:rPr>
                <w:rFonts w:ascii="PT Astra Serif" w:hAnsi="PT Astra Serif"/>
                <w:color w:val="FF0000"/>
                <w:lang w:eastAsia="ru-RU"/>
              </w:rPr>
              <w:t>29155,2</w:t>
            </w:r>
          </w:p>
        </w:tc>
      </w:tr>
      <w:tr w:rsidR="00AE5F6E" w:rsidRPr="00AE5F6E" w:rsidTr="00A231D7">
        <w:trPr>
          <w:trHeight w:val="343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AE5F6E" w:rsidRPr="00AE5F6E" w:rsidRDefault="00AE5F6E" w:rsidP="00AE5F6E">
            <w:pPr>
              <w:spacing w:before="120" w:after="12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lang w:eastAsia="ru-RU"/>
              </w:rPr>
              <w:t>3. Реализация результатов контрольных и экспертно-аналитических мероприятий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D11C5C">
              <w:rPr>
                <w:rFonts w:ascii="PT Astra Serif" w:hAnsi="PT Astra Serif"/>
                <w:lang w:eastAsia="ru-RU"/>
              </w:rPr>
              <w:t>Устранено финансовых нарушений, выявленных КСО, всего, тыс</w:t>
            </w:r>
            <w:proofErr w:type="gramStart"/>
            <w:r w:rsidRPr="00D11C5C">
              <w:rPr>
                <w:rFonts w:ascii="PT Astra Serif" w:hAnsi="PT Astra Serif"/>
                <w:lang w:eastAsia="ru-RU"/>
              </w:rPr>
              <w:t>.р</w:t>
            </w:r>
            <w:proofErr w:type="gramEnd"/>
            <w:r w:rsidRPr="00D11C5C">
              <w:rPr>
                <w:rFonts w:ascii="PT Astra Serif" w:hAnsi="PT Astra Serif"/>
                <w:lang w:eastAsia="ru-RU"/>
              </w:rPr>
              <w:t>ублей</w:t>
            </w:r>
            <w:r w:rsidRPr="00AE5F6E">
              <w:rPr>
                <w:rFonts w:ascii="PT Astra Serif" w:hAnsi="PT Astra Serif"/>
                <w:lang w:eastAsia="ru-RU"/>
              </w:rPr>
              <w:t xml:space="preserve"> </w:t>
            </w:r>
          </w:p>
        </w:tc>
        <w:tc>
          <w:tcPr>
            <w:tcW w:w="3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207B0E" w:rsidRDefault="00D828A5" w:rsidP="00B53773">
            <w:pPr>
              <w:jc w:val="center"/>
              <w:rPr>
                <w:rFonts w:ascii="PT Astra Serif" w:hAnsi="PT Astra Serif"/>
                <w:bCs/>
                <w:lang w:eastAsia="ru-RU"/>
              </w:rPr>
            </w:pPr>
            <w:r>
              <w:rPr>
                <w:rFonts w:ascii="PT Astra Serif" w:hAnsi="PT Astra Serif"/>
                <w:bCs/>
                <w:lang w:eastAsia="ru-RU"/>
              </w:rPr>
              <w:t>2919,5</w:t>
            </w:r>
          </w:p>
        </w:tc>
      </w:tr>
      <w:tr w:rsidR="00AE5F6E" w:rsidRPr="00AE5F6E" w:rsidTr="00A231D7">
        <w:trPr>
          <w:trHeight w:val="49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нецелевое использование бюджетных средств, тыс.рублей 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F904AE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  <w:r w:rsidR="00F904A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lastRenderedPageBreak/>
              <w:t>3.1.2.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при формировании и исполнении бюджетов,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94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ведения бухгалтерского учета, составления и предоставления бухгалтерской (финансовой) отчетности,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111,8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в сфере управления и распоряжения муниципальной собственностью,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при осуществлении муниципальных закупок и закупок отдельными видами юридических лиц, тыс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иные нарушения,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2807,7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EA2AE2">
              <w:rPr>
                <w:rFonts w:ascii="PT Astra Serif" w:hAnsi="PT Astra Serif"/>
                <w:color w:val="000000"/>
                <w:lang w:eastAsia="ru-RU"/>
              </w:rPr>
              <w:t>Направлено представлений и предписаний,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</w:t>
            </w:r>
          </w:p>
        </w:tc>
      </w:tr>
      <w:tr w:rsidR="00AE5F6E" w:rsidRPr="00AE5F6E" w:rsidTr="00A231D7">
        <w:trPr>
          <w:trHeight w:val="39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представлений,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</w:tr>
      <w:tr w:rsidR="00AE5F6E" w:rsidRPr="00AE5F6E" w:rsidTr="00A231D7">
        <w:trPr>
          <w:trHeight w:val="3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предписаний,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45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Исполнено (рассмотрено) представлений и предписаний,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</w:t>
            </w:r>
          </w:p>
        </w:tc>
      </w:tr>
      <w:tr w:rsidR="00AE5F6E" w:rsidRPr="00AE5F6E" w:rsidTr="00A231D7">
        <w:trPr>
          <w:trHeight w:val="30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представлений,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</w:tr>
      <w:tr w:rsidR="00AE5F6E" w:rsidRPr="00AE5F6E" w:rsidTr="00A231D7">
        <w:trPr>
          <w:trHeight w:val="37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предписаний,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828A5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3.4.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 xml:space="preserve">Количество предложений (рекомендаций), подготовленных КСО по результатам </w:t>
            </w:r>
            <w:proofErr w:type="gramStart"/>
            <w:r w:rsidRPr="00AE5F6E">
              <w:rPr>
                <w:rFonts w:ascii="PT Astra Serif" w:hAnsi="PT Astra Serif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lang w:eastAsia="ru-RU"/>
              </w:rPr>
              <w:t xml:space="preserve"> и ЭАМ,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3.4.1.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по совершенствованию бюджетного процесса в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56032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учтено ОМС и объектами контроля при принятии решений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90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и ЭАМ, о результатах которых направлена информация главе МО и в представительный орган МО,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37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главе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45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представительный орган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3.6.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Количество материалов КСО, направленных в правоохранительные органы,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162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3.7.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возбужденных по материалам КСО уголовных дел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3.8.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составленных КСО протоколов об административных правонарушениях, всего,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20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рассмотрено соответствующими органами,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00"/>
        </w:trPr>
        <w:tc>
          <w:tcPr>
            <w:tcW w:w="105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привлечено к административной ответственности </w:t>
            </w: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lastRenderedPageBreak/>
              <w:t>должностных лиц,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lastRenderedPageBreak/>
              <w:t>-</w:t>
            </w:r>
          </w:p>
        </w:tc>
      </w:tr>
      <w:tr w:rsidR="00AE5F6E" w:rsidRPr="00AE5F6E" w:rsidTr="00A231D7">
        <w:trPr>
          <w:trHeight w:val="6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привлечено к административной ответственности юридических лиц,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3.8.2.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сумма штрафов назначенных,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3.8.2.1.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сумма штрафов, поступивших в бюджет,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3.8.3.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прочие результаты рассмотрения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3.9.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Привлечено по материалам КСО к дисциплинарной ответственности должностных лиц объектов контроля,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3.10.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Жалобы, исковые требования на действия КСО,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3.10.1.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решения судов об отказе в удовлетворении жалоб, исков,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E5F6E" w:rsidRPr="00AE5F6E" w:rsidRDefault="00AE5F6E" w:rsidP="00AE5F6E">
            <w:pPr>
              <w:spacing w:before="120" w:after="120"/>
              <w:jc w:val="center"/>
              <w:rPr>
                <w:rFonts w:ascii="PT Astra Serif" w:hAnsi="PT Astra Serif"/>
                <w:b/>
                <w:bCs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lang w:eastAsia="ru-RU"/>
              </w:rPr>
              <w:t>4. Гласность</w:t>
            </w:r>
          </w:p>
        </w:tc>
      </w:tr>
      <w:tr w:rsidR="00E26748" w:rsidRPr="00AE5F6E" w:rsidTr="00A231D7">
        <w:trPr>
          <w:trHeight w:val="12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6748" w:rsidRPr="00AE5F6E" w:rsidRDefault="00E26748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48" w:rsidRPr="00AE5F6E" w:rsidRDefault="00E26748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Наличие собственного информационного сайта или страницы на сайте представительного органа, регионального КСО, регионального объединения МКСО </w:t>
            </w: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(указать полное наименование и адрес)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26748" w:rsidRDefault="00E26748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  <w:p w:rsidR="007F01A1" w:rsidRDefault="007F01A1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  <w:p w:rsidR="007F01A1" w:rsidRPr="007B78BA" w:rsidRDefault="001E1492" w:rsidP="00F50A0C">
            <w:pPr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val="en-US" w:eastAsia="ru-RU"/>
              </w:rPr>
              <w:t>http</w:t>
            </w:r>
            <w:r w:rsidR="00207B0E">
              <w:rPr>
                <w:rFonts w:ascii="PT Astra Serif" w:hAnsi="PT Astra Serif"/>
                <w:color w:val="000000"/>
                <w:lang w:eastAsia="ru-RU"/>
              </w:rPr>
              <w:t>:/</w:t>
            </w:r>
            <w:proofErr w:type="spellStart"/>
            <w:r w:rsidR="00207B0E">
              <w:rPr>
                <w:rFonts w:ascii="PT Astra Serif" w:hAnsi="PT Astra Serif"/>
                <w:color w:val="000000"/>
                <w:lang w:eastAsia="ru-RU"/>
              </w:rPr>
              <w:t>бузулук.</w:t>
            </w:r>
            <w:r w:rsidR="00F50A0C">
              <w:rPr>
                <w:rFonts w:ascii="PT Astra Serif" w:hAnsi="PT Astra Serif"/>
                <w:color w:val="000000"/>
                <w:lang w:eastAsia="ru-RU"/>
              </w:rPr>
              <w:t>орб.ру</w:t>
            </w:r>
            <w:proofErr w:type="spellEnd"/>
            <w:r w:rsidR="00207B0E">
              <w:rPr>
                <w:rFonts w:ascii="PT Astra Serif" w:hAnsi="PT Astra Serif"/>
                <w:color w:val="000000"/>
                <w:lang w:eastAsia="ru-RU"/>
              </w:rPr>
              <w:t>/К</w:t>
            </w:r>
            <w:r>
              <w:rPr>
                <w:rFonts w:ascii="PT Astra Serif" w:hAnsi="PT Astra Serif"/>
                <w:color w:val="000000"/>
                <w:lang w:eastAsia="ru-RU"/>
              </w:rPr>
              <w:t xml:space="preserve">онтрольно-счетная палата </w:t>
            </w:r>
          </w:p>
        </w:tc>
      </w:tr>
      <w:tr w:rsidR="00E26748" w:rsidRPr="00AE5F6E" w:rsidTr="00A231D7">
        <w:trPr>
          <w:trHeight w:val="661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748" w:rsidRPr="00AE5F6E" w:rsidRDefault="00E26748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4.2.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6748" w:rsidRPr="00AE5F6E" w:rsidRDefault="00E26748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Количество публикаций в СМИ, отражающих деятельность КСО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26748" w:rsidRPr="007B78BA" w:rsidRDefault="00095159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  <w:r w:rsidR="00F50A0C">
              <w:rPr>
                <w:rFonts w:ascii="PT Astra Serif" w:hAnsi="PT Astra Serif"/>
                <w:color w:val="000000"/>
                <w:lang w:eastAsia="ru-RU"/>
              </w:rPr>
              <w:t>9</w:t>
            </w:r>
          </w:p>
        </w:tc>
      </w:tr>
      <w:tr w:rsidR="00AE5F6E" w:rsidRPr="00AE5F6E" w:rsidTr="00A231D7">
        <w:trPr>
          <w:trHeight w:val="866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4.3.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Участие в пределах полномочий в мероприятиях, направленных на противодействие коррупции (опубликование на сайте в сети Интернет сведений о доходах и расходах сотрудников) (1 - да, 0 - нет)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val="en-US" w:eastAsia="ru-RU"/>
              </w:rPr>
            </w:pPr>
            <w:r w:rsidRPr="00AE5F6E">
              <w:rPr>
                <w:rFonts w:ascii="PT Astra Serif" w:hAnsi="PT Astra Serif"/>
                <w:color w:val="000000"/>
                <w:lang w:val="en-US" w:eastAsia="ru-RU"/>
              </w:rPr>
              <w:t>1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spacing w:before="120" w:after="120"/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5. Финансовое обеспечение деятельности МКСО</w:t>
            </w:r>
          </w:p>
        </w:tc>
      </w:tr>
      <w:tr w:rsidR="00AE5F6E" w:rsidRPr="00AE5F6E" w:rsidTr="00A231D7">
        <w:trPr>
          <w:trHeight w:val="43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5.1.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Финансовое обеспечение деятельности КСО,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0285B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5177,7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отчетном году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57A42" w:rsidRDefault="00F50A0C" w:rsidP="00B53773">
            <w:pPr>
              <w:jc w:val="center"/>
              <w:rPr>
                <w:rFonts w:ascii="PT Astra Serif" w:hAnsi="PT Astra Serif"/>
                <w:bCs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lang w:eastAsia="ru-RU"/>
              </w:rPr>
              <w:t>2436,2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году, следующим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за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 отчетным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57A42" w:rsidRDefault="00F50A0C" w:rsidP="00B53773">
            <w:pPr>
              <w:jc w:val="center"/>
              <w:rPr>
                <w:rFonts w:ascii="PT Astra Serif" w:hAnsi="PT Astra Serif"/>
                <w:bCs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lang w:eastAsia="ru-RU"/>
              </w:rPr>
              <w:t>2741,5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i/>
                <w:iCs/>
                <w:lang w:eastAsia="ru-RU"/>
              </w:rPr>
              <w:t>Справочно:</w:t>
            </w:r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 Объем местного бюджета по расходам, млн</w:t>
            </w:r>
            <w:proofErr w:type="gramStart"/>
            <w:r w:rsidRPr="00AE5F6E">
              <w:rPr>
                <w:rFonts w:ascii="PT Astra Serif" w:hAnsi="PT Astra Serif"/>
                <w:i/>
                <w:iCs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lang w:eastAsia="ru-RU"/>
              </w:rPr>
              <w:t>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6945,8</w:t>
            </w:r>
          </w:p>
        </w:tc>
      </w:tr>
      <w:tr w:rsidR="00AE5F6E" w:rsidRPr="00AE5F6E" w:rsidTr="00A231D7">
        <w:trPr>
          <w:trHeight w:val="2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отчетном году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3107,3</w:t>
            </w:r>
          </w:p>
        </w:tc>
      </w:tr>
      <w:tr w:rsidR="00AE5F6E" w:rsidRPr="00AE5F6E" w:rsidTr="00A231D7">
        <w:trPr>
          <w:trHeight w:val="39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году, следующим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за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 отчетным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F50A0C" w:rsidP="00B53773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3838,5</w:t>
            </w:r>
          </w:p>
        </w:tc>
      </w:tr>
      <w:tr w:rsidR="00AE5F6E" w:rsidRPr="00AE5F6E" w:rsidTr="00A231D7">
        <w:trPr>
          <w:trHeight w:val="615"/>
        </w:trPr>
        <w:tc>
          <w:tcPr>
            <w:tcW w:w="658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6. Наличие стандартов внешнего муниципального финансового контроля,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53773">
            <w:pPr>
              <w:jc w:val="center"/>
              <w:rPr>
                <w:rFonts w:ascii="PT Astra Serif" w:hAnsi="PT Astra Serif"/>
                <w:color w:val="000000"/>
                <w:lang w:val="en-US" w:eastAsia="ru-RU"/>
              </w:rPr>
            </w:pPr>
            <w:r w:rsidRPr="00AE5F6E">
              <w:rPr>
                <w:rFonts w:ascii="PT Astra Serif" w:hAnsi="PT Astra Serif"/>
                <w:color w:val="000000"/>
                <w:lang w:val="en-US" w:eastAsia="ru-RU"/>
              </w:rPr>
              <w:t>11</w:t>
            </w:r>
          </w:p>
        </w:tc>
      </w:tr>
      <w:tr w:rsidR="00AE5F6E" w:rsidRPr="00AE5F6E" w:rsidTr="00A231D7">
        <w:trPr>
          <w:trHeight w:val="690"/>
        </w:trPr>
        <w:tc>
          <w:tcPr>
            <w:tcW w:w="9790" w:type="dxa"/>
            <w:gridSpan w:val="5"/>
            <w:vAlign w:val="center"/>
          </w:tcPr>
          <w:p w:rsidR="00AE5F6E" w:rsidRPr="00AE5F6E" w:rsidRDefault="00AE5F6E" w:rsidP="00B53773">
            <w:pPr>
              <w:ind w:firstLine="709"/>
              <w:jc w:val="both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</w:tr>
    </w:tbl>
    <w:p w:rsidR="00AE5F6E" w:rsidRPr="00AE5F6E" w:rsidRDefault="00AE5F6E" w:rsidP="00AE5F6E">
      <w:pPr>
        <w:spacing w:before="100" w:beforeAutospacing="1" w:after="100" w:afterAutospacing="1"/>
        <w:ind w:firstLine="708"/>
        <w:rPr>
          <w:lang w:eastAsia="ru-RU"/>
        </w:rPr>
      </w:pPr>
      <w:r w:rsidRPr="00AE5F6E">
        <w:rPr>
          <w:lang w:eastAsia="ru-RU"/>
        </w:rPr>
        <w:t xml:space="preserve">                                                                                      </w:t>
      </w:r>
    </w:p>
    <w:p w:rsidR="00AE5F6E" w:rsidRPr="00AE5F6E" w:rsidRDefault="00AE5F6E" w:rsidP="00AE5F6E">
      <w:pPr>
        <w:tabs>
          <w:tab w:val="left" w:pos="951"/>
          <w:tab w:val="right" w:pos="9355"/>
          <w:tab w:val="left" w:pos="11482"/>
        </w:tabs>
        <w:rPr>
          <w:sz w:val="28"/>
          <w:szCs w:val="28"/>
          <w:lang w:eastAsia="ru-RU"/>
        </w:rPr>
      </w:pPr>
      <w:r w:rsidRPr="00AE5F6E">
        <w:rPr>
          <w:bCs/>
          <w:sz w:val="28"/>
          <w:szCs w:val="28"/>
          <w:lang w:eastAsia="ru-RU"/>
        </w:rPr>
        <w:lastRenderedPageBreak/>
        <w:tab/>
      </w:r>
    </w:p>
    <w:p w:rsidR="00AE5F6E" w:rsidRPr="00AE5F6E" w:rsidRDefault="00AE5F6E" w:rsidP="00AE5F6E">
      <w:pPr>
        <w:spacing w:before="100" w:beforeAutospacing="1"/>
        <w:rPr>
          <w:sz w:val="28"/>
          <w:szCs w:val="28"/>
          <w:lang w:eastAsia="ru-RU"/>
        </w:rPr>
      </w:pPr>
      <w:r w:rsidRPr="00AE5F6E">
        <w:rPr>
          <w:sz w:val="28"/>
          <w:szCs w:val="28"/>
          <w:lang w:eastAsia="ru-RU"/>
        </w:rPr>
        <w:t>Председатель</w:t>
      </w:r>
      <w:proofErr w:type="gramStart"/>
      <w:r w:rsidRPr="00AE5F6E">
        <w:rPr>
          <w:sz w:val="28"/>
          <w:szCs w:val="28"/>
          <w:lang w:eastAsia="ru-RU"/>
        </w:rPr>
        <w:t xml:space="preserve"> К</w:t>
      </w:r>
      <w:proofErr w:type="gramEnd"/>
      <w:r w:rsidRPr="00AE5F6E">
        <w:rPr>
          <w:sz w:val="28"/>
          <w:szCs w:val="28"/>
          <w:lang w:eastAsia="ru-RU"/>
        </w:rPr>
        <w:t xml:space="preserve">онтрольно – счетной                              </w:t>
      </w:r>
      <w:r w:rsidR="006C45A5">
        <w:rPr>
          <w:sz w:val="28"/>
          <w:szCs w:val="28"/>
          <w:lang w:eastAsia="ru-RU"/>
        </w:rPr>
        <w:t xml:space="preserve">            </w:t>
      </w:r>
      <w:r w:rsidR="000D57D2">
        <w:rPr>
          <w:sz w:val="28"/>
          <w:szCs w:val="28"/>
          <w:lang w:eastAsia="ru-RU"/>
        </w:rPr>
        <w:t xml:space="preserve">  Е.А. Кузьмина</w:t>
      </w:r>
    </w:p>
    <w:p w:rsidR="00AE5F6E" w:rsidRDefault="003A342C" w:rsidP="00BB5C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="00BB5CE0">
        <w:rPr>
          <w:sz w:val="28"/>
          <w:szCs w:val="28"/>
          <w:lang w:eastAsia="ru-RU"/>
        </w:rPr>
        <w:t>алаты город Бузулука</w:t>
      </w:r>
    </w:p>
    <w:p w:rsidR="00AE5F6E" w:rsidRDefault="00AE5F6E" w:rsidP="00333C29">
      <w:pPr>
        <w:jc w:val="both"/>
        <w:rPr>
          <w:sz w:val="28"/>
          <w:szCs w:val="28"/>
        </w:rPr>
      </w:pPr>
    </w:p>
    <w:p w:rsidR="00AE5F6E" w:rsidRDefault="00AE5F6E" w:rsidP="00333C29">
      <w:pPr>
        <w:jc w:val="both"/>
        <w:rPr>
          <w:sz w:val="28"/>
          <w:szCs w:val="28"/>
        </w:rPr>
      </w:pPr>
    </w:p>
    <w:p w:rsidR="00AE5F6E" w:rsidRDefault="00AE5F6E" w:rsidP="00333C29">
      <w:pPr>
        <w:jc w:val="both"/>
        <w:rPr>
          <w:sz w:val="28"/>
          <w:szCs w:val="28"/>
        </w:rPr>
      </w:pPr>
    </w:p>
    <w:p w:rsidR="00BB5CE0" w:rsidRDefault="00AE5F6E" w:rsidP="00333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26748" w:rsidRDefault="00A06986" w:rsidP="00A06986">
      <w:pPr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Нарушения, выявленные в ходе контрольных и экспертно-аналитических мероприятий, прилагаемые в качестве примеров:</w:t>
      </w:r>
    </w:p>
    <w:p w:rsidR="00A06986" w:rsidRDefault="00A06986" w:rsidP="003B07D9">
      <w:pPr>
        <w:jc w:val="both"/>
        <w:rPr>
          <w:noProof/>
          <w:sz w:val="28"/>
          <w:szCs w:val="28"/>
          <w:lang w:eastAsia="ru-RU"/>
        </w:rPr>
      </w:pPr>
    </w:p>
    <w:p w:rsidR="00A06986" w:rsidRPr="007A78A2" w:rsidRDefault="007A78A2" w:rsidP="007A78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</w:t>
      </w:r>
      <w:r w:rsidR="00A06986" w:rsidRPr="007A78A2">
        <w:rPr>
          <w:sz w:val="28"/>
          <w:szCs w:val="28"/>
        </w:rPr>
        <w:t>В нарушение</w:t>
      </w:r>
      <w:r w:rsidR="00A06986" w:rsidRPr="007A78A2">
        <w:rPr>
          <w:sz w:val="28"/>
          <w:szCs w:val="28"/>
          <w:shd w:val="clear" w:color="auto" w:fill="FFFFFF"/>
        </w:rPr>
        <w:t xml:space="preserve"> пунктов 34, 45 Инструкции от 01.12.2010 №157н, пунктов 9, 10 Приказа Минфина РФ от 31.12.2016 №257н, отдельные элементы благоустройства</w:t>
      </w:r>
      <w:r w:rsidRPr="007A78A2">
        <w:rPr>
          <w:sz w:val="28"/>
          <w:szCs w:val="28"/>
          <w:shd w:val="clear" w:color="auto" w:fill="FFFFFF"/>
        </w:rPr>
        <w:t xml:space="preserve"> общественной территории (</w:t>
      </w:r>
      <w:r w:rsidR="00A06986" w:rsidRPr="007A78A2">
        <w:rPr>
          <w:sz w:val="28"/>
          <w:szCs w:val="28"/>
          <w:shd w:val="clear" w:color="auto" w:fill="FFFFFF"/>
        </w:rPr>
        <w:t>элементы системы видеонаблюдения</w:t>
      </w:r>
      <w:r w:rsidRPr="007A78A2">
        <w:rPr>
          <w:sz w:val="28"/>
          <w:szCs w:val="28"/>
          <w:shd w:val="clear" w:color="auto" w:fill="FFFFFF"/>
        </w:rPr>
        <w:t>)</w:t>
      </w:r>
      <w:r w:rsidR="00A06986" w:rsidRPr="007A78A2">
        <w:rPr>
          <w:color w:val="333333"/>
          <w:sz w:val="28"/>
          <w:szCs w:val="28"/>
          <w:shd w:val="clear" w:color="auto" w:fill="FFFFFF"/>
        </w:rPr>
        <w:t xml:space="preserve"> </w:t>
      </w:r>
      <w:r w:rsidR="00A06986" w:rsidRPr="007A78A2">
        <w:rPr>
          <w:sz w:val="28"/>
          <w:szCs w:val="28"/>
        </w:rPr>
        <w:t xml:space="preserve">в качестве инвентарных объектов основных средств, с учетом группировки объектов основных фондов, предусмотренной ОКОФ </w:t>
      </w:r>
      <w:proofErr w:type="gramStart"/>
      <w:r w:rsidR="00A06986" w:rsidRPr="007A78A2">
        <w:rPr>
          <w:sz w:val="28"/>
          <w:szCs w:val="28"/>
        </w:rPr>
        <w:t>ОК</w:t>
      </w:r>
      <w:proofErr w:type="gramEnd"/>
      <w:r w:rsidR="00A06986" w:rsidRPr="007A78A2">
        <w:rPr>
          <w:sz w:val="28"/>
          <w:szCs w:val="28"/>
        </w:rPr>
        <w:t xml:space="preserve"> 013-2014 и по решению постоянно действующей комиссии по пос</w:t>
      </w:r>
      <w:r w:rsidRPr="007A78A2">
        <w:rPr>
          <w:sz w:val="28"/>
          <w:szCs w:val="28"/>
        </w:rPr>
        <w:t>туплению и выбытию активов Учреждением</w:t>
      </w:r>
      <w:r w:rsidR="00A06986" w:rsidRPr="007A78A2">
        <w:rPr>
          <w:sz w:val="28"/>
          <w:szCs w:val="28"/>
        </w:rPr>
        <w:t xml:space="preserve"> к бухгалтерскому учету не приняты.</w:t>
      </w:r>
    </w:p>
    <w:p w:rsidR="00420B96" w:rsidRDefault="005D23FB" w:rsidP="003B07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A78A2">
        <w:rPr>
          <w:sz w:val="28"/>
          <w:szCs w:val="28"/>
        </w:rPr>
        <w:t xml:space="preserve"> 2.</w:t>
      </w:r>
      <w:r w:rsidR="007A78A2" w:rsidRPr="007A78A2">
        <w:rPr>
          <w:sz w:val="28"/>
          <w:szCs w:val="28"/>
        </w:rPr>
        <w:t xml:space="preserve"> </w:t>
      </w:r>
      <w:proofErr w:type="gramStart"/>
      <w:r w:rsidR="007A78A2" w:rsidRPr="00EB1B61">
        <w:rPr>
          <w:sz w:val="28"/>
          <w:szCs w:val="28"/>
        </w:rPr>
        <w:t>Окончательное решение о порядке принятия к учету сред</w:t>
      </w:r>
      <w:r w:rsidR="007A78A2">
        <w:rPr>
          <w:sz w:val="28"/>
          <w:szCs w:val="28"/>
        </w:rPr>
        <w:t>ств благоустройства общественной территории</w:t>
      </w:r>
      <w:r w:rsidR="003A13DC">
        <w:rPr>
          <w:sz w:val="28"/>
          <w:szCs w:val="28"/>
        </w:rPr>
        <w:t xml:space="preserve"> </w:t>
      </w:r>
      <w:r w:rsidR="003A13DC" w:rsidRPr="00EB1B61">
        <w:rPr>
          <w:sz w:val="28"/>
          <w:szCs w:val="28"/>
        </w:rPr>
        <w:t>(</w:t>
      </w:r>
      <w:r w:rsidR="001925F0">
        <w:rPr>
          <w:sz w:val="28"/>
          <w:szCs w:val="28"/>
        </w:rPr>
        <w:t xml:space="preserve">например: </w:t>
      </w:r>
      <w:r w:rsidR="003A13DC" w:rsidRPr="00EB1B61">
        <w:rPr>
          <w:sz w:val="28"/>
          <w:szCs w:val="28"/>
        </w:rPr>
        <w:t>озеленение, водоснабжение (капельный полив), водяные колодца, сцена с сиденьями и др.)</w:t>
      </w:r>
      <w:r w:rsidR="007A78A2" w:rsidRPr="00EB1B61">
        <w:rPr>
          <w:sz w:val="28"/>
          <w:szCs w:val="28"/>
        </w:rPr>
        <w:t>, созданных на земельном участке, обустройство дорог, постоянно действующей комиссией по поступлению и выбытию активов, установленных требованием п.34 Инструкцией от 01.12.2010 №157н не при</w:t>
      </w:r>
      <w:r w:rsidR="001925F0">
        <w:rPr>
          <w:sz w:val="28"/>
          <w:szCs w:val="28"/>
        </w:rPr>
        <w:t>нято, в инвентарную карточку объекта нефинансового акти</w:t>
      </w:r>
      <w:r w:rsidR="00151971">
        <w:rPr>
          <w:sz w:val="28"/>
          <w:szCs w:val="28"/>
        </w:rPr>
        <w:t>ва сведения о выполненных на</w:t>
      </w:r>
      <w:r w:rsidR="007B1160">
        <w:rPr>
          <w:sz w:val="28"/>
          <w:szCs w:val="28"/>
        </w:rPr>
        <w:t xml:space="preserve"> общественной территории</w:t>
      </w:r>
      <w:r w:rsidR="00151971">
        <w:rPr>
          <w:sz w:val="28"/>
          <w:szCs w:val="28"/>
        </w:rPr>
        <w:t xml:space="preserve"> работах</w:t>
      </w:r>
      <w:proofErr w:type="gramEnd"/>
      <w:r w:rsidR="007B1160">
        <w:rPr>
          <w:sz w:val="28"/>
          <w:szCs w:val="28"/>
        </w:rPr>
        <w:t xml:space="preserve"> не внесены</w:t>
      </w:r>
      <w:r w:rsidR="007A78A2" w:rsidRPr="00EB1B61">
        <w:rPr>
          <w:sz w:val="28"/>
          <w:szCs w:val="28"/>
        </w:rPr>
        <w:t>.</w:t>
      </w:r>
    </w:p>
    <w:p w:rsidR="001925F0" w:rsidRPr="000B6DB0" w:rsidRDefault="00ED3927" w:rsidP="001925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</w:t>
      </w:r>
      <w:r w:rsidR="001925F0">
        <w:rPr>
          <w:sz w:val="28"/>
          <w:szCs w:val="28"/>
        </w:rPr>
        <w:t>В проверяемом периоде Учреждением н</w:t>
      </w:r>
      <w:r w:rsidR="001925F0" w:rsidRPr="000B6DB0">
        <w:rPr>
          <w:sz w:val="28"/>
          <w:szCs w:val="28"/>
        </w:rPr>
        <w:t>е принима</w:t>
      </w:r>
      <w:r w:rsidR="001925F0">
        <w:rPr>
          <w:sz w:val="28"/>
          <w:szCs w:val="28"/>
        </w:rPr>
        <w:t>лось решение о передаче</w:t>
      </w:r>
      <w:r w:rsidR="001925F0" w:rsidRPr="000B6DB0">
        <w:rPr>
          <w:sz w:val="28"/>
          <w:szCs w:val="28"/>
        </w:rPr>
        <w:t xml:space="preserve"> </w:t>
      </w:r>
      <w:r w:rsidR="001925F0">
        <w:rPr>
          <w:sz w:val="28"/>
          <w:szCs w:val="28"/>
        </w:rPr>
        <w:t>собственнику имущества, сформированные на благоустроенной общественной территории</w:t>
      </w:r>
      <w:r w:rsidR="00151971">
        <w:rPr>
          <w:sz w:val="28"/>
          <w:szCs w:val="28"/>
        </w:rPr>
        <w:t xml:space="preserve"> элементов</w:t>
      </w:r>
      <w:r w:rsidR="001925F0" w:rsidRPr="000B6DB0">
        <w:rPr>
          <w:sz w:val="28"/>
          <w:szCs w:val="28"/>
        </w:rPr>
        <w:t xml:space="preserve"> благоустройства (п. 3.13 Классификатора нарушений). Подтверждающие документы </w:t>
      </w:r>
      <w:r w:rsidR="001925F0">
        <w:rPr>
          <w:sz w:val="28"/>
          <w:szCs w:val="28"/>
        </w:rPr>
        <w:t>о передаче в казну МО Учреждением</w:t>
      </w:r>
      <w:r w:rsidR="001925F0" w:rsidRPr="000B6DB0">
        <w:rPr>
          <w:sz w:val="28"/>
          <w:szCs w:val="28"/>
        </w:rPr>
        <w:t xml:space="preserve"> к проверке не представлены.</w:t>
      </w:r>
      <w:r w:rsidR="001925F0" w:rsidRPr="000B6DB0">
        <w:rPr>
          <w:color w:val="222222"/>
          <w:sz w:val="28"/>
          <w:szCs w:val="28"/>
        </w:rPr>
        <w:t xml:space="preserve"> В целях </w:t>
      </w:r>
      <w:r w:rsidR="001925F0" w:rsidRPr="000B6DB0">
        <w:rPr>
          <w:sz w:val="28"/>
          <w:szCs w:val="28"/>
        </w:rPr>
        <w:t xml:space="preserve">осуществления </w:t>
      </w:r>
      <w:proofErr w:type="gramStart"/>
      <w:r w:rsidR="001925F0" w:rsidRPr="000B6DB0">
        <w:rPr>
          <w:sz w:val="28"/>
          <w:szCs w:val="28"/>
        </w:rPr>
        <w:t>контроля за</w:t>
      </w:r>
      <w:proofErr w:type="gramEnd"/>
      <w:r w:rsidR="00151971">
        <w:rPr>
          <w:sz w:val="28"/>
          <w:szCs w:val="28"/>
        </w:rPr>
        <w:t xml:space="preserve"> фактическим  наличием и </w:t>
      </w:r>
      <w:r w:rsidR="001925F0" w:rsidRPr="000B6DB0">
        <w:rPr>
          <w:sz w:val="28"/>
          <w:szCs w:val="28"/>
        </w:rPr>
        <w:t xml:space="preserve">сохранностью элементов благоустроенной территории, а также для дальнейшего обслуживания благоустроенной территории, </w:t>
      </w:r>
      <w:r w:rsidR="00151971">
        <w:rPr>
          <w:sz w:val="28"/>
          <w:szCs w:val="28"/>
        </w:rPr>
        <w:t>Учреждению</w:t>
      </w:r>
      <w:r w:rsidR="001925F0" w:rsidRPr="000B6DB0">
        <w:rPr>
          <w:color w:val="222222"/>
          <w:sz w:val="28"/>
          <w:szCs w:val="28"/>
        </w:rPr>
        <w:t xml:space="preserve"> необходимо в ближайшее время произвести передачу собственнику имущества все элементы благоустройства </w:t>
      </w:r>
      <w:r w:rsidR="001925F0" w:rsidRPr="000B6DB0">
        <w:rPr>
          <w:sz w:val="28"/>
          <w:szCs w:val="28"/>
        </w:rPr>
        <w:t>для включения их в состав имущества казны, с последующим закреплением за другими субъектами деятельности.</w:t>
      </w:r>
    </w:p>
    <w:p w:rsidR="007B1160" w:rsidRDefault="001925F0" w:rsidP="007B1160">
      <w:pPr>
        <w:pStyle w:val="ab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 </w:t>
      </w:r>
      <w:r w:rsidR="007B1160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4. </w:t>
      </w:r>
      <w:r w:rsidR="007B1160" w:rsidRPr="009563DA">
        <w:rPr>
          <w:rFonts w:ascii="Times New Roman" w:hAnsi="Times New Roman" w:cs="Times New Roman"/>
          <w:sz w:val="28"/>
          <w:szCs w:val="28"/>
        </w:rPr>
        <w:t>Н</w:t>
      </w:r>
      <w:r w:rsidR="007B1160">
        <w:rPr>
          <w:rFonts w:ascii="Times New Roman" w:hAnsi="Times New Roman" w:cs="Times New Roman"/>
          <w:sz w:val="28"/>
          <w:szCs w:val="28"/>
        </w:rPr>
        <w:t>арушены</w:t>
      </w:r>
      <w:r w:rsidR="007B1160" w:rsidRPr="009563DA">
        <w:rPr>
          <w:rFonts w:ascii="Times New Roman" w:hAnsi="Times New Roman" w:cs="Times New Roman"/>
          <w:sz w:val="28"/>
          <w:szCs w:val="28"/>
        </w:rPr>
        <w:t xml:space="preserve"> </w:t>
      </w:r>
      <w:r w:rsidR="00151971">
        <w:rPr>
          <w:rFonts w:ascii="Times New Roman" w:hAnsi="Times New Roman" w:cs="Times New Roman"/>
          <w:sz w:val="28"/>
          <w:szCs w:val="28"/>
        </w:rPr>
        <w:t>требования Гражданского кодекса РФ, условия гражданско-правового договора по срокам</w:t>
      </w:r>
      <w:r w:rsidR="007B1160"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151971">
        <w:rPr>
          <w:rFonts w:ascii="Times New Roman" w:hAnsi="Times New Roman" w:cs="Times New Roman"/>
          <w:sz w:val="28"/>
          <w:szCs w:val="28"/>
        </w:rPr>
        <w:t>ия подрядчиком обязательств по выполнению работ</w:t>
      </w:r>
      <w:r w:rsidR="007B1160">
        <w:rPr>
          <w:rFonts w:ascii="Times New Roman" w:hAnsi="Times New Roman" w:cs="Times New Roman"/>
          <w:sz w:val="28"/>
          <w:szCs w:val="28"/>
        </w:rPr>
        <w:t xml:space="preserve">. Учреждением </w:t>
      </w:r>
      <w:r w:rsidR="007B1160" w:rsidRPr="009563DA">
        <w:rPr>
          <w:rFonts w:ascii="Times New Roman" w:hAnsi="Times New Roman" w:cs="Times New Roman"/>
          <w:sz w:val="28"/>
          <w:szCs w:val="28"/>
        </w:rPr>
        <w:t xml:space="preserve"> не направлены  требовани</w:t>
      </w:r>
      <w:r w:rsidR="007B1160">
        <w:rPr>
          <w:rFonts w:ascii="Times New Roman" w:hAnsi="Times New Roman" w:cs="Times New Roman"/>
          <w:sz w:val="28"/>
          <w:szCs w:val="28"/>
        </w:rPr>
        <w:t>я об оплате пени подрядчику</w:t>
      </w:r>
      <w:r w:rsidR="007B1160" w:rsidRPr="009563DA">
        <w:rPr>
          <w:rFonts w:ascii="Times New Roman" w:hAnsi="Times New Roman" w:cs="Times New Roman"/>
          <w:sz w:val="28"/>
          <w:szCs w:val="28"/>
        </w:rPr>
        <w:t xml:space="preserve"> за нарушение сроков по исполнению своих обязательств  в рамках гражданско-правового д</w:t>
      </w:r>
      <w:r w:rsidR="007B1160">
        <w:rPr>
          <w:rFonts w:ascii="Times New Roman" w:hAnsi="Times New Roman" w:cs="Times New Roman"/>
          <w:sz w:val="28"/>
          <w:szCs w:val="28"/>
        </w:rPr>
        <w:t>оговора.</w:t>
      </w:r>
    </w:p>
    <w:p w:rsidR="007B1160" w:rsidRDefault="007B1160" w:rsidP="007B11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5 .</w:t>
      </w:r>
      <w:r w:rsidRPr="001C3945">
        <w:rPr>
          <w:i/>
          <w:sz w:val="28"/>
          <w:szCs w:val="28"/>
        </w:rPr>
        <w:t xml:space="preserve"> </w:t>
      </w:r>
      <w:r w:rsidRPr="001C3945">
        <w:rPr>
          <w:sz w:val="28"/>
          <w:szCs w:val="28"/>
        </w:rPr>
        <w:t>В нарушение пункта 9</w:t>
      </w:r>
      <w:r>
        <w:rPr>
          <w:sz w:val="28"/>
          <w:szCs w:val="28"/>
        </w:rPr>
        <w:t xml:space="preserve"> раздела 1 </w:t>
      </w:r>
      <w:r w:rsidRPr="001C3945">
        <w:rPr>
          <w:sz w:val="28"/>
          <w:szCs w:val="28"/>
        </w:rPr>
        <w:t xml:space="preserve"> Плана счетов бухгалтерского учета автономных учреждений и Инструкции по его применению, </w:t>
      </w:r>
      <w:r w:rsidRPr="001C3945">
        <w:rPr>
          <w:sz w:val="28"/>
          <w:szCs w:val="28"/>
        </w:rPr>
        <w:lastRenderedPageBreak/>
        <w:t xml:space="preserve">утвержденного Приказом </w:t>
      </w:r>
      <w:r>
        <w:rPr>
          <w:sz w:val="28"/>
          <w:szCs w:val="28"/>
        </w:rPr>
        <w:t xml:space="preserve">Минфина РФ от 23.12.2010 №183н </w:t>
      </w:r>
      <w:r w:rsidRPr="001C3945">
        <w:rPr>
          <w:sz w:val="28"/>
          <w:szCs w:val="28"/>
        </w:rPr>
        <w:t xml:space="preserve"> в инвентарную карточку учета нефинансовых активов (ф</w:t>
      </w:r>
      <w:r>
        <w:rPr>
          <w:sz w:val="28"/>
          <w:szCs w:val="28"/>
        </w:rPr>
        <w:t xml:space="preserve">.0504031) недвижимого имущества Учреждением </w:t>
      </w:r>
      <w:r w:rsidRPr="001C3945">
        <w:rPr>
          <w:sz w:val="28"/>
          <w:szCs w:val="28"/>
        </w:rPr>
        <w:t>сведения о проведенном ремон</w:t>
      </w:r>
      <w:r>
        <w:rPr>
          <w:sz w:val="28"/>
          <w:szCs w:val="28"/>
        </w:rPr>
        <w:t>те не внесены.</w:t>
      </w:r>
    </w:p>
    <w:p w:rsidR="007B1160" w:rsidRDefault="007B1160" w:rsidP="007B1160">
      <w:pPr>
        <w:pStyle w:val="Style8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6.  В</w:t>
      </w:r>
      <w:r w:rsidRPr="00B63F16">
        <w:rPr>
          <w:sz w:val="28"/>
          <w:szCs w:val="28"/>
        </w:rPr>
        <w:t xml:space="preserve"> бухгалтерском учете процедура оприходования и списания с бухгалтерского учета нефинансовых активов виде металлолома  должным образом не произведено, как того требует пункты 12, 34 Инструкции от 23.12.2010 №183н, пункты 52-54, 59 Федерального стандарта бухгалтерского учета и отчетности организаций государственного сектора, утвержденного приказом Минфина РФ от 31.12.2016 №256н. В инвентарной карто</w:t>
      </w:r>
      <w:r>
        <w:rPr>
          <w:sz w:val="28"/>
          <w:szCs w:val="28"/>
        </w:rPr>
        <w:t xml:space="preserve">чки недвижимого имущества </w:t>
      </w:r>
      <w:r w:rsidRPr="00B63F16">
        <w:rPr>
          <w:sz w:val="28"/>
          <w:szCs w:val="28"/>
        </w:rPr>
        <w:t xml:space="preserve"> отметки о проводимых каких-либо мероприятиях по движению (ремонту, списанию) данного нефинансового актива отсутствуют, к проверке не представлены.</w:t>
      </w:r>
    </w:p>
    <w:p w:rsidR="00023E7F" w:rsidRPr="00404AC1" w:rsidRDefault="00023E7F" w:rsidP="00023E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Часть объектов н</w:t>
      </w:r>
      <w:r w:rsidRPr="00023E7F">
        <w:rPr>
          <w:sz w:val="28"/>
          <w:szCs w:val="28"/>
        </w:rPr>
        <w:t xml:space="preserve">езавершенного строительства </w:t>
      </w:r>
      <w:r>
        <w:rPr>
          <w:sz w:val="28"/>
          <w:szCs w:val="28"/>
        </w:rPr>
        <w:t xml:space="preserve">Управлением </w:t>
      </w:r>
      <w:r w:rsidRPr="00023E7F">
        <w:rPr>
          <w:sz w:val="28"/>
          <w:szCs w:val="28"/>
        </w:rPr>
        <w:t>приняты к бухгалтерскому учету в состав объектов основных средств в соответствии с требованиями раздела 3 федерального стандарта бухгалтерского учета для организаций государственного сектора, утвержденного приказом Минфина  от 31.122016 №257н «Основные средства» (далее по текст</w:t>
      </w:r>
      <w:proofErr w:type="gramStart"/>
      <w:r w:rsidRPr="00023E7F">
        <w:rPr>
          <w:sz w:val="28"/>
          <w:szCs w:val="28"/>
        </w:rPr>
        <w:t>у-</w:t>
      </w:r>
      <w:proofErr w:type="gramEnd"/>
      <w:r w:rsidRPr="00023E7F">
        <w:rPr>
          <w:sz w:val="28"/>
          <w:szCs w:val="28"/>
        </w:rPr>
        <w:t xml:space="preserve"> Федеральный стандарт «Основные средства»), с последующим их отнесением на </w:t>
      </w:r>
      <w:proofErr w:type="spellStart"/>
      <w:r w:rsidRPr="00023E7F">
        <w:rPr>
          <w:sz w:val="28"/>
          <w:szCs w:val="28"/>
        </w:rPr>
        <w:t>забаланс</w:t>
      </w:r>
      <w:proofErr w:type="spellEnd"/>
      <w:r w:rsidRPr="00023E7F">
        <w:rPr>
          <w:sz w:val="28"/>
          <w:szCs w:val="28"/>
        </w:rPr>
        <w:t xml:space="preserve">, в отсутствие подтверждающих документов как на объекты законченного строительства и других </w:t>
      </w:r>
      <w:proofErr w:type="gramStart"/>
      <w:r w:rsidRPr="00023E7F">
        <w:rPr>
          <w:sz w:val="28"/>
          <w:szCs w:val="28"/>
        </w:rPr>
        <w:t xml:space="preserve">документов, позволяющих признать объекты не активами и списать их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забаланс</w:t>
      </w:r>
      <w:proofErr w:type="spellEnd"/>
      <w:r>
        <w:rPr>
          <w:sz w:val="28"/>
          <w:szCs w:val="28"/>
        </w:rPr>
        <w:t xml:space="preserve"> </w:t>
      </w:r>
      <w:r w:rsidRPr="00404AC1">
        <w:rPr>
          <w:sz w:val="28"/>
          <w:szCs w:val="28"/>
        </w:rPr>
        <w:t xml:space="preserve">(ст. 55.24.2 Градостроительного кодекса РФ от 29.12.2004 №190-ФЗ, ст. 1, ч.6  </w:t>
      </w:r>
      <w:r w:rsidRPr="00404AC1">
        <w:rPr>
          <w:bCs/>
          <w:kern w:val="36"/>
          <w:sz w:val="28"/>
          <w:szCs w:val="28"/>
        </w:rPr>
        <w:t xml:space="preserve">Федерального закона "О государственной регистрации недвижимости" от 13.07.2015 N 218-ФЗ, п.130 </w:t>
      </w:r>
      <w:r w:rsidRPr="00404AC1">
        <w:rPr>
          <w:sz w:val="28"/>
          <w:szCs w:val="28"/>
        </w:rPr>
        <w:t>приказа Минфина России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</w:t>
      </w:r>
      <w:proofErr w:type="gramEnd"/>
      <w:r w:rsidRPr="00404AC1">
        <w:rPr>
          <w:sz w:val="28"/>
          <w:szCs w:val="28"/>
        </w:rPr>
        <w:t xml:space="preserve"> внебюджетными фондами, государственных академий наук, государственных (муниципальных) учреждений и Инструкции по его применению», п.31 приказа Минфина России от 06.12.2010 №162н «Об утверждении Плана счетов бюджетного учета и Инструкции по его применению»). </w:t>
      </w:r>
      <w:r w:rsidR="00404AC1">
        <w:rPr>
          <w:sz w:val="28"/>
          <w:szCs w:val="28"/>
        </w:rPr>
        <w:t>При изменении статуса части объектов</w:t>
      </w:r>
      <w:r w:rsidR="00404AC1" w:rsidRPr="00404AC1">
        <w:rPr>
          <w:sz w:val="28"/>
          <w:szCs w:val="28"/>
        </w:rPr>
        <w:t xml:space="preserve"> незавершенного строительства на статус основных средств</w:t>
      </w:r>
      <w:r w:rsidRPr="00404AC1">
        <w:rPr>
          <w:sz w:val="28"/>
          <w:szCs w:val="28"/>
        </w:rPr>
        <w:t xml:space="preserve"> </w:t>
      </w:r>
      <w:r w:rsidR="009E4742" w:rsidRPr="00404AC1">
        <w:rPr>
          <w:sz w:val="28"/>
          <w:szCs w:val="28"/>
        </w:rPr>
        <w:t>не принято решение</w:t>
      </w:r>
      <w:r w:rsidR="00404AC1">
        <w:rPr>
          <w:sz w:val="28"/>
          <w:szCs w:val="28"/>
        </w:rPr>
        <w:t xml:space="preserve"> о передаче и не переданы</w:t>
      </w:r>
      <w:r w:rsidRPr="00404AC1">
        <w:rPr>
          <w:sz w:val="28"/>
          <w:szCs w:val="28"/>
        </w:rPr>
        <w:t xml:space="preserve"> учреди</w:t>
      </w:r>
      <w:r w:rsidR="00404AC1">
        <w:rPr>
          <w:sz w:val="28"/>
          <w:szCs w:val="28"/>
        </w:rPr>
        <w:t xml:space="preserve">телю муниципального образования, </w:t>
      </w:r>
      <w:r w:rsidRPr="00404AC1">
        <w:rPr>
          <w:sz w:val="28"/>
          <w:szCs w:val="28"/>
        </w:rPr>
        <w:t>для включения их в состав имущества казны и в последующем закреплением за другими субъектами деятельности. Подтверждающие документы о передаче в казну МО Управлением к проверке не представлены.</w:t>
      </w:r>
      <w:r w:rsidRPr="00404AC1">
        <w:rPr>
          <w:color w:val="222222"/>
          <w:sz w:val="28"/>
          <w:szCs w:val="28"/>
        </w:rPr>
        <w:t xml:space="preserve"> Дан</w:t>
      </w:r>
      <w:r w:rsidR="00404AC1">
        <w:rPr>
          <w:color w:val="222222"/>
          <w:sz w:val="28"/>
          <w:szCs w:val="28"/>
        </w:rPr>
        <w:t>ные действия, в последствие, могут повлечь</w:t>
      </w:r>
      <w:r w:rsidRPr="00404AC1">
        <w:rPr>
          <w:color w:val="222222"/>
          <w:sz w:val="28"/>
          <w:szCs w:val="28"/>
        </w:rPr>
        <w:t xml:space="preserve"> искажение данных бухгалтерского учета и отчетности по состоянию на конец года, </w:t>
      </w:r>
      <w:r w:rsidRPr="00404AC1">
        <w:rPr>
          <w:sz w:val="28"/>
        </w:rPr>
        <w:t>в учете имущества, связанные с формированием достоверного реестра муниципального имущества.</w:t>
      </w:r>
    </w:p>
    <w:p w:rsidR="00023E7F" w:rsidRDefault="00023E7F" w:rsidP="00023E7F">
      <w:pPr>
        <w:jc w:val="both"/>
        <w:rPr>
          <w:sz w:val="28"/>
          <w:szCs w:val="28"/>
        </w:rPr>
      </w:pPr>
    </w:p>
    <w:p w:rsidR="00B16AA5" w:rsidRDefault="00B16AA5" w:rsidP="00023E7F">
      <w:pPr>
        <w:jc w:val="both"/>
        <w:rPr>
          <w:sz w:val="28"/>
          <w:szCs w:val="28"/>
        </w:rPr>
      </w:pPr>
    </w:p>
    <w:p w:rsidR="00B16AA5" w:rsidRPr="00023E7F" w:rsidRDefault="00B16AA5" w:rsidP="00023E7F">
      <w:pPr>
        <w:jc w:val="both"/>
        <w:rPr>
          <w:sz w:val="28"/>
          <w:szCs w:val="28"/>
        </w:rPr>
      </w:pPr>
    </w:p>
    <w:p w:rsidR="00023E7F" w:rsidRPr="00023E7F" w:rsidRDefault="00023E7F" w:rsidP="007B1160">
      <w:pPr>
        <w:pStyle w:val="Style8"/>
        <w:widowControl/>
        <w:jc w:val="both"/>
        <w:rPr>
          <w:sz w:val="28"/>
          <w:szCs w:val="28"/>
        </w:rPr>
      </w:pPr>
    </w:p>
    <w:p w:rsidR="007B1160" w:rsidRDefault="00B16AA5" w:rsidP="007B1160">
      <w:pPr>
        <w:pStyle w:val="ab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B16AA5" w:rsidRDefault="00B16AA5" w:rsidP="007B1160">
      <w:pPr>
        <w:pStyle w:val="ab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Контрольно-счетной палаты города Бузулука                          Е.А.Кузьмина</w:t>
      </w:r>
    </w:p>
    <w:p w:rsidR="007B1160" w:rsidRDefault="007B1160" w:rsidP="007B1160">
      <w:pPr>
        <w:pStyle w:val="ab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927" w:rsidRDefault="00ED3927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Pr="00B16AA5" w:rsidRDefault="00B16AA5" w:rsidP="003B07D9">
      <w:pPr>
        <w:jc w:val="both"/>
        <w:rPr>
          <w:sz w:val="20"/>
          <w:szCs w:val="20"/>
          <w:lang w:eastAsia="ru-RU"/>
        </w:rPr>
      </w:pPr>
      <w:r w:rsidRPr="00B16AA5">
        <w:rPr>
          <w:sz w:val="20"/>
          <w:szCs w:val="20"/>
          <w:lang w:eastAsia="ru-RU"/>
        </w:rPr>
        <w:t xml:space="preserve">Исп. Елена Викторовна </w:t>
      </w:r>
      <w:proofErr w:type="spellStart"/>
      <w:r w:rsidRPr="00B16AA5">
        <w:rPr>
          <w:sz w:val="20"/>
          <w:szCs w:val="20"/>
          <w:lang w:eastAsia="ru-RU"/>
        </w:rPr>
        <w:t>Гооге</w:t>
      </w:r>
      <w:proofErr w:type="spellEnd"/>
    </w:p>
    <w:p w:rsidR="00B16AA5" w:rsidRPr="00B16AA5" w:rsidRDefault="00B16AA5" w:rsidP="003B07D9">
      <w:pPr>
        <w:jc w:val="both"/>
        <w:rPr>
          <w:sz w:val="20"/>
          <w:szCs w:val="20"/>
          <w:lang w:eastAsia="ru-RU"/>
        </w:rPr>
      </w:pPr>
      <w:r w:rsidRPr="00B16AA5">
        <w:rPr>
          <w:sz w:val="20"/>
          <w:szCs w:val="20"/>
          <w:lang w:eastAsia="ru-RU"/>
        </w:rPr>
        <w:t>Тел 8(35342)35-261</w:t>
      </w: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p w:rsidR="00420B96" w:rsidRDefault="00420B96" w:rsidP="003B07D9">
      <w:pPr>
        <w:jc w:val="both"/>
        <w:rPr>
          <w:sz w:val="28"/>
          <w:szCs w:val="28"/>
          <w:lang w:eastAsia="ru-RU"/>
        </w:rPr>
      </w:pPr>
    </w:p>
    <w:sectPr w:rsidR="00420B96" w:rsidSect="008D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91E" w:rsidRDefault="00B6291E" w:rsidP="005016AE">
      <w:r>
        <w:separator/>
      </w:r>
    </w:p>
  </w:endnote>
  <w:endnote w:type="continuationSeparator" w:id="0">
    <w:p w:rsidR="00B6291E" w:rsidRDefault="00B6291E" w:rsidP="0050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91E" w:rsidRDefault="00B6291E" w:rsidP="005016AE">
      <w:r>
        <w:separator/>
      </w:r>
    </w:p>
  </w:footnote>
  <w:footnote w:type="continuationSeparator" w:id="0">
    <w:p w:rsidR="00B6291E" w:rsidRDefault="00B6291E" w:rsidP="0050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E7830"/>
    <w:multiLevelType w:val="hybridMultilevel"/>
    <w:tmpl w:val="1160CC08"/>
    <w:lvl w:ilvl="0" w:tplc="BAFE5832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D5"/>
    <w:rsid w:val="00002ADB"/>
    <w:rsid w:val="00011E60"/>
    <w:rsid w:val="00023E7F"/>
    <w:rsid w:val="00056032"/>
    <w:rsid w:val="00095159"/>
    <w:rsid w:val="000D57D2"/>
    <w:rsid w:val="00105581"/>
    <w:rsid w:val="00131CD3"/>
    <w:rsid w:val="00151971"/>
    <w:rsid w:val="001925F0"/>
    <w:rsid w:val="001E1492"/>
    <w:rsid w:val="001E40DF"/>
    <w:rsid w:val="001F23E2"/>
    <w:rsid w:val="002062F2"/>
    <w:rsid w:val="00207B0E"/>
    <w:rsid w:val="00217592"/>
    <w:rsid w:val="002A0005"/>
    <w:rsid w:val="002E6C6D"/>
    <w:rsid w:val="00316569"/>
    <w:rsid w:val="00333C29"/>
    <w:rsid w:val="0034712B"/>
    <w:rsid w:val="00366343"/>
    <w:rsid w:val="003A13DC"/>
    <w:rsid w:val="003A342C"/>
    <w:rsid w:val="003B07D9"/>
    <w:rsid w:val="003B13BB"/>
    <w:rsid w:val="003D5B7E"/>
    <w:rsid w:val="003F1401"/>
    <w:rsid w:val="0040285B"/>
    <w:rsid w:val="00404AC1"/>
    <w:rsid w:val="00420B96"/>
    <w:rsid w:val="004418EE"/>
    <w:rsid w:val="0045375F"/>
    <w:rsid w:val="00454258"/>
    <w:rsid w:val="00456625"/>
    <w:rsid w:val="00457A42"/>
    <w:rsid w:val="0048085F"/>
    <w:rsid w:val="0048686C"/>
    <w:rsid w:val="005016AE"/>
    <w:rsid w:val="0050615A"/>
    <w:rsid w:val="005142AF"/>
    <w:rsid w:val="0051500B"/>
    <w:rsid w:val="00536EC6"/>
    <w:rsid w:val="00537561"/>
    <w:rsid w:val="00566C19"/>
    <w:rsid w:val="00577040"/>
    <w:rsid w:val="005D23FB"/>
    <w:rsid w:val="005E04EB"/>
    <w:rsid w:val="005E3681"/>
    <w:rsid w:val="00683B24"/>
    <w:rsid w:val="006B49C9"/>
    <w:rsid w:val="006C45A5"/>
    <w:rsid w:val="006D2AD5"/>
    <w:rsid w:val="006D7F19"/>
    <w:rsid w:val="006E3459"/>
    <w:rsid w:val="00726F7B"/>
    <w:rsid w:val="007A78A2"/>
    <w:rsid w:val="007B1160"/>
    <w:rsid w:val="007B6721"/>
    <w:rsid w:val="007B78BA"/>
    <w:rsid w:val="007E58CB"/>
    <w:rsid w:val="007F01A1"/>
    <w:rsid w:val="00806BA1"/>
    <w:rsid w:val="00817532"/>
    <w:rsid w:val="0082153B"/>
    <w:rsid w:val="00837DED"/>
    <w:rsid w:val="00882198"/>
    <w:rsid w:val="008D07DB"/>
    <w:rsid w:val="00965590"/>
    <w:rsid w:val="00986CD0"/>
    <w:rsid w:val="009E4742"/>
    <w:rsid w:val="009F7CEC"/>
    <w:rsid w:val="00A06986"/>
    <w:rsid w:val="00A231D7"/>
    <w:rsid w:val="00A81D17"/>
    <w:rsid w:val="00AA0EC9"/>
    <w:rsid w:val="00AB133D"/>
    <w:rsid w:val="00AE162C"/>
    <w:rsid w:val="00AE4C59"/>
    <w:rsid w:val="00AE5F6E"/>
    <w:rsid w:val="00AF7FD7"/>
    <w:rsid w:val="00B1047E"/>
    <w:rsid w:val="00B16AA5"/>
    <w:rsid w:val="00B40971"/>
    <w:rsid w:val="00B53773"/>
    <w:rsid w:val="00B6291E"/>
    <w:rsid w:val="00BB5CE0"/>
    <w:rsid w:val="00BE092B"/>
    <w:rsid w:val="00BE5B91"/>
    <w:rsid w:val="00C01C2A"/>
    <w:rsid w:val="00C40795"/>
    <w:rsid w:val="00C46B64"/>
    <w:rsid w:val="00C57F0C"/>
    <w:rsid w:val="00CD06BF"/>
    <w:rsid w:val="00CD5ADC"/>
    <w:rsid w:val="00CF704A"/>
    <w:rsid w:val="00D0399D"/>
    <w:rsid w:val="00D11C5C"/>
    <w:rsid w:val="00D828A5"/>
    <w:rsid w:val="00DF07B7"/>
    <w:rsid w:val="00E14BD6"/>
    <w:rsid w:val="00E16C7A"/>
    <w:rsid w:val="00E26748"/>
    <w:rsid w:val="00E76490"/>
    <w:rsid w:val="00EA2AE2"/>
    <w:rsid w:val="00ED1F87"/>
    <w:rsid w:val="00ED3927"/>
    <w:rsid w:val="00EE1560"/>
    <w:rsid w:val="00EE15A2"/>
    <w:rsid w:val="00EF5395"/>
    <w:rsid w:val="00F2453D"/>
    <w:rsid w:val="00F50A0C"/>
    <w:rsid w:val="00F60056"/>
    <w:rsid w:val="00F8449C"/>
    <w:rsid w:val="00F904AE"/>
    <w:rsid w:val="00FD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rsid w:val="00207B0E"/>
    <w:rPr>
      <w:color w:val="000080"/>
      <w:u w:val="single"/>
    </w:rPr>
  </w:style>
  <w:style w:type="character" w:customStyle="1" w:styleId="FontStyle14">
    <w:name w:val="Font Style14"/>
    <w:basedOn w:val="a0"/>
    <w:rsid w:val="00207B0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07B0E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B07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7D9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A78A2"/>
    <w:pPr>
      <w:ind w:left="720"/>
      <w:contextualSpacing/>
    </w:pPr>
  </w:style>
  <w:style w:type="paragraph" w:styleId="ab">
    <w:name w:val="Normal (Web)"/>
    <w:basedOn w:val="a"/>
    <w:link w:val="ac"/>
    <w:rsid w:val="007B1160"/>
    <w:pPr>
      <w:spacing w:before="280" w:after="28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c">
    <w:name w:val="Обычный (веб) Знак"/>
    <w:link w:val="ab"/>
    <w:locked/>
    <w:rsid w:val="007B1160"/>
    <w:rPr>
      <w:rFonts w:ascii="Calibri" w:eastAsia="Calibri" w:hAnsi="Calibri" w:cs="Calibri"/>
      <w:lang w:eastAsia="ar-SA"/>
    </w:rPr>
  </w:style>
  <w:style w:type="paragraph" w:customStyle="1" w:styleId="Style8">
    <w:name w:val="Style8"/>
    <w:basedOn w:val="a"/>
    <w:rsid w:val="007B1160"/>
    <w:pPr>
      <w:widowControl w:val="0"/>
      <w:autoSpaceDE w:val="0"/>
      <w:autoSpaceDN w:val="0"/>
      <w:adjustRightInd w:val="0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rsid w:val="00207B0E"/>
    <w:rPr>
      <w:color w:val="000080"/>
      <w:u w:val="single"/>
    </w:rPr>
  </w:style>
  <w:style w:type="character" w:customStyle="1" w:styleId="FontStyle14">
    <w:name w:val="Font Style14"/>
    <w:basedOn w:val="a0"/>
    <w:rsid w:val="00207B0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07B0E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B07D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7D9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7A78A2"/>
    <w:pPr>
      <w:ind w:left="720"/>
      <w:contextualSpacing/>
    </w:pPr>
  </w:style>
  <w:style w:type="paragraph" w:styleId="ab">
    <w:name w:val="Normal (Web)"/>
    <w:basedOn w:val="a"/>
    <w:link w:val="ac"/>
    <w:rsid w:val="007B1160"/>
    <w:pPr>
      <w:spacing w:before="280" w:after="28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c">
    <w:name w:val="Обычный (веб) Знак"/>
    <w:link w:val="ab"/>
    <w:locked/>
    <w:rsid w:val="007B1160"/>
    <w:rPr>
      <w:rFonts w:ascii="Calibri" w:eastAsia="Calibri" w:hAnsi="Calibri" w:cs="Calibri"/>
      <w:lang w:eastAsia="ar-SA"/>
    </w:rPr>
  </w:style>
  <w:style w:type="paragraph" w:customStyle="1" w:styleId="Style8">
    <w:name w:val="Style8"/>
    <w:basedOn w:val="a"/>
    <w:rsid w:val="007B1160"/>
    <w:pPr>
      <w:widowControl w:val="0"/>
      <w:autoSpaceDE w:val="0"/>
      <w:autoSpaceDN w:val="0"/>
      <w:adjustRightInd w:val="0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79872-FF55-41F1-A26D-4931D751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2024-01-17T09:45:00Z</cp:lastPrinted>
  <dcterms:created xsi:type="dcterms:W3CDTF">2024-01-22T04:20:00Z</dcterms:created>
  <dcterms:modified xsi:type="dcterms:W3CDTF">2024-01-22T04:20:00Z</dcterms:modified>
</cp:coreProperties>
</file>