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481743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226A9C">
        <w:rPr>
          <w:rFonts w:eastAsia="MS Mincho"/>
          <w:sz w:val="28"/>
          <w:szCs w:val="28"/>
        </w:rPr>
        <w:t>118003</w:t>
      </w:r>
      <w:r w:rsidR="00B16ECE">
        <w:rPr>
          <w:rFonts w:eastAsia="MS Mincho"/>
          <w:sz w:val="28"/>
          <w:szCs w:val="28"/>
        </w:rPr>
        <w:t>:</w:t>
      </w:r>
      <w:r w:rsidR="00226A9C">
        <w:rPr>
          <w:rFonts w:eastAsia="MS Mincho"/>
          <w:sz w:val="28"/>
          <w:szCs w:val="28"/>
        </w:rPr>
        <w:t>103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26A9C">
        <w:rPr>
          <w:color w:val="000000"/>
          <w:sz w:val="28"/>
          <w:szCs w:val="28"/>
          <w:shd w:val="clear" w:color="auto" w:fill="F8F9FA"/>
        </w:rPr>
        <w:t>Строитель-1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226A9C">
        <w:rPr>
          <w:rFonts w:eastAsia="MS Mincho"/>
          <w:sz w:val="28"/>
          <w:szCs w:val="28"/>
        </w:rPr>
        <w:t>Гаврилов Александр Ильич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26A9C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2023-10-09T07:51:00Z</dcterms:modified>
</cp:coreProperties>
</file>