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928" w:rsidRPr="00D24C42" w:rsidRDefault="00574928" w:rsidP="00574928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Правительство РФ будет определять категории товаров, в отношении которых не применяются предусмотренные ТК ЕАЭС неполное таможенное декларирование и периодическое таможенное декларирование</w:t>
      </w:r>
    </w:p>
    <w:p w:rsidR="00574928" w:rsidRDefault="00574928" w:rsidP="0057492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  <w:shd w:val="clear" w:color="auto" w:fill="FFFFFF"/>
        </w:rPr>
      </w:pPr>
    </w:p>
    <w:p w:rsidR="00574928" w:rsidRPr="00D24C42" w:rsidRDefault="00574928" w:rsidP="0057492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hyperlink r:id="rId5" w:tgtFrame="_blank" w:history="1">
        <w:r w:rsidRPr="00D24C42">
          <w:rPr>
            <w:rStyle w:val="a4"/>
            <w:sz w:val="28"/>
            <w:szCs w:val="28"/>
          </w:rPr>
          <w:t>Федеральным законом от 20.04.2021 № 97-ФЗ внесены изменения в Федеральный закон «О таможенном регулировании в Российской Федерации и о внесении изменений в отдельные законодательные акты Российской Федерации».</w:t>
        </w:r>
      </w:hyperlink>
    </w:p>
    <w:p w:rsidR="00574928" w:rsidRPr="00D24C42" w:rsidRDefault="00574928" w:rsidP="0057492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Как отмечает законодатель, в статьях 115 и 116 ТК ЕАЭС для отдельных категорий товаров предусмотрены особенности таможенного декларирования - неполное таможенное декларирование (в случае, если декларант не располагает на момент подачи декларации на товары точными сведениями, необходимыми для заявления в такой декларации на товары) и периодическое таможенное декларирование (в случае, если лицо осуществляет перемещение через таможенную границу Союза товаров двумя или</w:t>
      </w:r>
      <w:proofErr w:type="gramEnd"/>
      <w:r w:rsidRPr="00D24C42">
        <w:rPr>
          <w:sz w:val="28"/>
          <w:szCs w:val="28"/>
          <w:shd w:val="clear" w:color="auto" w:fill="FFFFFF"/>
        </w:rPr>
        <w:t xml:space="preserve"> более партиями на одних и тех же условиях в течение периода поставки).</w:t>
      </w:r>
    </w:p>
    <w:p w:rsidR="00574928" w:rsidRPr="00D24C42" w:rsidRDefault="00574928" w:rsidP="0057492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Однако указанные особенности таможенного декларирования зачастую используются недобросовестными участниками (декларантами) при экспорте отдельных категорий товаров, в том числе, лесоматериалов.</w:t>
      </w:r>
    </w:p>
    <w:p w:rsidR="00574928" w:rsidRPr="00D24C42" w:rsidRDefault="00574928" w:rsidP="0057492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В этой связи, Правительство РФ наделяется правом определения категорий товаров, в отношении которых неполное таможенное декларирование и периодическое таможенное декларирование применяться не будет.</w:t>
      </w:r>
    </w:p>
    <w:p w:rsidR="00574928" w:rsidRPr="00D24C42" w:rsidRDefault="00574928" w:rsidP="0057492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>Кроме того, уточнены полномочия Правительства РФ в отношении оборудования и товаров для оборудования при завершении действия таможенной процедуры свободного склада.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A14"/>
    <w:rsid w:val="001E7A14"/>
    <w:rsid w:val="00574928"/>
    <w:rsid w:val="0068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4928"/>
    <w:pPr>
      <w:spacing w:before="100" w:beforeAutospacing="1" w:after="100" w:afterAutospacing="1"/>
    </w:pPr>
  </w:style>
  <w:style w:type="character" w:styleId="a4">
    <w:name w:val="Hyperlink"/>
    <w:basedOn w:val="a0"/>
    <w:rsid w:val="00574928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57492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74928"/>
    <w:pPr>
      <w:spacing w:before="100" w:beforeAutospacing="1" w:after="100" w:afterAutospacing="1"/>
    </w:pPr>
  </w:style>
  <w:style w:type="character" w:styleId="a4">
    <w:name w:val="Hyperlink"/>
    <w:basedOn w:val="a0"/>
    <w:rsid w:val="00574928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57492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523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2021-04-30T05:08:00Z</dcterms:created>
  <dcterms:modified xsi:type="dcterms:W3CDTF">2021-04-30T05:08:00Z</dcterms:modified>
</cp:coreProperties>
</file>