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59307" w14:textId="615CC0C3" w:rsidR="001352F9" w:rsidRPr="00515D08" w:rsidRDefault="001352F9" w:rsidP="006636C2">
      <w:pPr>
        <w:pStyle w:val="TableContents"/>
        <w:jc w:val="center"/>
        <w:rPr>
          <w:b/>
          <w:bCs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  <w:r w:rsidR="006636C2">
        <w:rPr>
          <w:sz w:val="28"/>
          <w:szCs w:val="28"/>
        </w:rPr>
        <w:t xml:space="preserve"> от 11.04</w:t>
      </w:r>
      <w:r w:rsidR="001B522C">
        <w:rPr>
          <w:sz w:val="28"/>
          <w:szCs w:val="28"/>
        </w:rPr>
        <w:t>.2024</w:t>
      </w:r>
      <w:r w:rsidRPr="00675929">
        <w:rPr>
          <w:sz w:val="28"/>
          <w:szCs w:val="28"/>
        </w:rPr>
        <w:t xml:space="preserve"> №</w:t>
      </w:r>
      <w:r w:rsidR="001100B8" w:rsidRPr="00675929">
        <w:rPr>
          <w:sz w:val="28"/>
          <w:szCs w:val="28"/>
        </w:rPr>
        <w:t xml:space="preserve"> </w:t>
      </w:r>
      <w:r w:rsidR="006636C2">
        <w:rPr>
          <w:sz w:val="28"/>
          <w:szCs w:val="28"/>
        </w:rPr>
        <w:t>73</w:t>
      </w:r>
    </w:p>
    <w:p w14:paraId="5BF63CD2" w14:textId="36644EB8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</w:t>
      </w:r>
      <w:proofErr w:type="gramStart"/>
      <w:r w:rsidRPr="00CB4A23">
        <w:rPr>
          <w:sz w:val="28"/>
          <w:szCs w:val="28"/>
        </w:rPr>
        <w:t>города  Бузулука</w:t>
      </w:r>
      <w:proofErr w:type="gramEnd"/>
      <w:r w:rsidRPr="00CB4A23">
        <w:rPr>
          <w:sz w:val="28"/>
          <w:szCs w:val="28"/>
        </w:rPr>
        <w:t xml:space="preserve"> </w:t>
      </w:r>
      <w:r w:rsidR="000D738F" w:rsidRPr="00ED7F54">
        <w:rPr>
          <w:sz w:val="28"/>
          <w:szCs w:val="28"/>
        </w:rPr>
        <w:t>«</w:t>
      </w:r>
      <w:r w:rsidR="001B522C" w:rsidRPr="001B522C">
        <w:rPr>
          <w:sz w:val="28"/>
          <w:szCs w:val="28"/>
        </w:rPr>
        <w:t>О предоставлении разрешения на условно разрешенный вид использования земельного участка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6636C2">
        <w:rPr>
          <w:sz w:val="28"/>
          <w:szCs w:val="28"/>
        </w:rPr>
        <w:t>11.04</w:t>
      </w:r>
      <w:r w:rsidR="001B522C">
        <w:rPr>
          <w:sz w:val="28"/>
          <w:szCs w:val="28"/>
        </w:rPr>
        <w:t>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636C2">
        <w:rPr>
          <w:bCs/>
          <w:sz w:val="28"/>
          <w:szCs w:val="28"/>
        </w:rPr>
        <w:t>у</w:t>
      </w:r>
      <w:r w:rsidR="00646CEE" w:rsidRPr="00646CEE">
        <w:rPr>
          <w:bCs/>
          <w:sz w:val="28"/>
          <w:szCs w:val="28"/>
        </w:rPr>
        <w:t>л. Галактионова, 29</w:t>
      </w:r>
      <w:r w:rsidR="00646CEE">
        <w:rPr>
          <w:bCs/>
          <w:sz w:val="28"/>
          <w:szCs w:val="28"/>
        </w:rPr>
        <w:t>.</w:t>
      </w:r>
    </w:p>
    <w:p w14:paraId="108836DC" w14:textId="6A69C572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 w:rsidRPr="001B522C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6636C2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54AD3EFB" w14:textId="624304DA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6636C2">
        <w:rPr>
          <w:rFonts w:ascii="Times New Roman" w:hAnsi="Times New Roman"/>
          <w:b w:val="0"/>
          <w:bCs w:val="0"/>
          <w:sz w:val="28"/>
          <w:szCs w:val="28"/>
        </w:rPr>
        <w:t>11.04</w:t>
      </w:r>
      <w:r w:rsidR="001B522C">
        <w:rPr>
          <w:rFonts w:ascii="Times New Roman" w:hAnsi="Times New Roman"/>
          <w:b w:val="0"/>
          <w:bCs w:val="0"/>
          <w:sz w:val="28"/>
          <w:szCs w:val="28"/>
        </w:rPr>
        <w:t>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155611B5" w14:textId="77777777"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21F1FD29" w14:textId="77777777"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14:paraId="5B89CE68" w14:textId="4EBA06C4" w:rsidR="001352F9" w:rsidRDefault="001352F9" w:rsidP="00C90406">
      <w:pPr>
        <w:ind w:firstLine="709"/>
        <w:jc w:val="both"/>
        <w:rPr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="006636C2">
        <w:rPr>
          <w:sz w:val="28"/>
          <w:szCs w:val="28"/>
        </w:rPr>
        <w:t xml:space="preserve">поступило </w:t>
      </w:r>
      <w:r w:rsidRPr="008D7BBB">
        <w:rPr>
          <w:sz w:val="28"/>
          <w:szCs w:val="28"/>
        </w:rPr>
        <w:t>замечани</w:t>
      </w:r>
      <w:r w:rsidR="006636C2">
        <w:rPr>
          <w:sz w:val="28"/>
          <w:szCs w:val="28"/>
        </w:rPr>
        <w:t>е:</w:t>
      </w:r>
      <w:r w:rsidR="00837F6D" w:rsidRPr="008D7BBB">
        <w:rPr>
          <w:sz w:val="28"/>
          <w:szCs w:val="28"/>
        </w:rPr>
        <w:t xml:space="preserve"> </w:t>
      </w:r>
    </w:p>
    <w:p w14:paraId="5C7D9801" w14:textId="52C1AD57" w:rsidR="006636C2" w:rsidRPr="00D04894" w:rsidRDefault="006636C2" w:rsidP="00C90406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Директор производственного отдела филиала ПАО «</w:t>
      </w:r>
      <w:proofErr w:type="spellStart"/>
      <w:r>
        <w:rPr>
          <w:sz w:val="28"/>
          <w:szCs w:val="28"/>
        </w:rPr>
        <w:t>Россети</w:t>
      </w:r>
      <w:proofErr w:type="spellEnd"/>
      <w:r>
        <w:rPr>
          <w:sz w:val="28"/>
          <w:szCs w:val="28"/>
        </w:rPr>
        <w:t xml:space="preserve"> Волга» - «Оренбургэнерго» ЗПО: «Предоставление разрешения на условно разрешенный вид использования земельного участка «объекты дорожного сервиса» не согласовано. Содержание данного вида разрешенного использования включает в себя содержание видов разрешенного использования с кодами 4.9.1.1 – 4.9.1.4. Согласно «Правил установления охранных зон объектов электросетевого хозяйства…», утвержденных Постановлением Правительства РФ от 24.02.2009 № 160 ни заправок, ни моек, ни сервисов для ремонтов автомобилей в охранной зоне ВЛ 110кВ размещение не допускается.».</w:t>
      </w:r>
    </w:p>
    <w:p w14:paraId="50C054AE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7D7C70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521BBDBC" w14:textId="4921D2F6"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 xml:space="preserve">о </w:t>
      </w:r>
      <w:r w:rsidR="006636C2">
        <w:rPr>
          <w:sz w:val="28"/>
          <w:szCs w:val="28"/>
        </w:rPr>
        <w:t xml:space="preserve">не </w:t>
      </w:r>
      <w:r w:rsidRPr="00675929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 xml:space="preserve">условно разрешенный вид использования </w:t>
      </w:r>
      <w:r w:rsidR="006636C2" w:rsidRPr="006636C2">
        <w:rPr>
          <w:sz w:val="28"/>
          <w:szCs w:val="28"/>
        </w:rPr>
        <w:t xml:space="preserve">земельного участка, площадью 295 </w:t>
      </w:r>
      <w:proofErr w:type="spellStart"/>
      <w:proofErr w:type="gramStart"/>
      <w:r w:rsidR="006636C2" w:rsidRPr="006636C2">
        <w:rPr>
          <w:sz w:val="28"/>
          <w:szCs w:val="28"/>
        </w:rPr>
        <w:t>кв.м</w:t>
      </w:r>
      <w:proofErr w:type="spellEnd"/>
      <w:proofErr w:type="gramEnd"/>
      <w:r w:rsidR="006636C2" w:rsidRPr="006636C2">
        <w:rPr>
          <w:sz w:val="28"/>
          <w:szCs w:val="28"/>
        </w:rPr>
        <w:t>, местоположение: Российская Федерация, Оренбургская область, г. Бузулук, ГСК № 76, гараж № 119, ряд № 2 – «объекты дорожного сервиса (4.9.1)».</w:t>
      </w:r>
    </w:p>
    <w:p w14:paraId="0D4AC89D" w14:textId="77777777"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14:paraId="08FEF76B" w14:textId="77777777"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14:paraId="3866892E" w14:textId="77777777"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застройки города Бузулука</w:t>
      </w:r>
    </w:p>
    <w:p w14:paraId="50A98439" w14:textId="77777777"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160984">
    <w:abstractNumId w:val="5"/>
  </w:num>
  <w:num w:numId="2" w16cid:durableId="1759406010">
    <w:abstractNumId w:val="1"/>
  </w:num>
  <w:num w:numId="3" w16cid:durableId="358170249">
    <w:abstractNumId w:val="3"/>
  </w:num>
  <w:num w:numId="4" w16cid:durableId="1581911184">
    <w:abstractNumId w:val="6"/>
  </w:num>
  <w:num w:numId="5" w16cid:durableId="88087381">
    <w:abstractNumId w:val="2"/>
  </w:num>
  <w:num w:numId="6" w16cid:durableId="2049640982">
    <w:abstractNumId w:val="4"/>
  </w:num>
  <w:num w:numId="7" w16cid:durableId="4185244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522C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67D82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36C2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00C9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C72D"/>
  <w15:docId w15:val="{2DE3088E-CE3A-403B-83AF-8B9BD1472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460DB-BED1-408A-9A4D-65CFE82A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1006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128</cp:revision>
  <cp:lastPrinted>2024-04-11T07:54:00Z</cp:lastPrinted>
  <dcterms:created xsi:type="dcterms:W3CDTF">2015-10-14T06:11:00Z</dcterms:created>
  <dcterms:modified xsi:type="dcterms:W3CDTF">2024-04-11T08:10:00Z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