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БУЗУЛУКА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ОРЕНБУРГСКОЙ ОБЛАСТИ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11 октября 2013 г. N 117-п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утверждении муниципальной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"Энергосбережение и повышение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энергетической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эффективности города Бузулука на 2014 - 2015 годы"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целях обеспечения устойчивого и эффективного функционирования экономики города Бузулука за счет рационального использования энергетических ресурсов и перевода экономики на энергосберегающий путь развития на основании Федерального </w:t>
      </w:r>
      <w:hyperlink r:id="rId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23.11.2009 N 261-ФЗ "Об энергосбережении и о повышении энергетической эффективности и о внесении изменений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отдельные законодательные акты Российской Федерации",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30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5 статьи 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статьи 43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Устава города Бузулука, руководствуясь постановлением администрации города Бузулука от 18.09.2013 N 188-п "Об утверждении Порядка разработки, реализации и оценки эффективности муниципальных программ города Бузулука", распоряжением администрации города Бузулука от 30.09.2013 N 19-р "Об утверждении Перечня муниципальных программ":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муниципальную </w:t>
      </w:r>
      <w:hyperlink w:anchor="Par3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программу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"Энергосбережение и повышение энергетической эффективности города Бузулука на 2014 - 2015 годы" (далее - Программа) согласно приложению.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Поручить организацию исполнения настоящего постановления Управлению жилищно-коммунального хозяйства и транспорта администрации города.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 01.01.2014 после официального опубликования на правовом интернет-портале Бузулука БУЗУЛУК-ПРАВО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Настоящее постановление подлежит включению в областной регистр муниципальных нормативных правовых актов.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Настоящая </w:t>
      </w:r>
      <w:hyperlink w:anchor="Par3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программа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применяется к правоотношениям, возникающим при составлении проекта местного бюджета на 2014 год и плановый период 2015 - 2016 годов.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города по промышленности, транспорту и энергетике А.И. Стригоцкого.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полномочия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 города Бузулука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Оренбургской области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В.Н.ТИТОВ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Бузулука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11 октября 2013 г. N 117-п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9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"Энергосбережение и повышение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энергетической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эффективности города Бузулука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2014 - 2015 годы"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56"/>
        <w:gridCol w:w="6188"/>
      </w:tblGrid>
      <w:tr w:rsidR="00B63FE3">
        <w:trPr>
          <w:trHeight w:val="600"/>
          <w:tblCellSpacing w:w="5" w:type="nil"/>
        </w:trPr>
        <w:tc>
          <w:tcPr>
            <w:tcW w:w="2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Наименование программы</w:t>
            </w:r>
          </w:p>
        </w:tc>
        <w:tc>
          <w:tcPr>
            <w:tcW w:w="6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Муниципальная программа "Энергосбережение и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повышение энергетической эффективности города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Бузулука на 2014 - 2015 годы" (далее - Программа) </w:t>
            </w:r>
          </w:p>
        </w:tc>
      </w:tr>
      <w:tr w:rsidR="00B63FE3">
        <w:trPr>
          <w:trHeight w:val="3600"/>
          <w:tblCellSpacing w:w="5" w:type="nil"/>
        </w:trPr>
        <w:tc>
          <w:tcPr>
            <w:tcW w:w="2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Основание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для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разработки программы  </w:t>
            </w:r>
          </w:p>
        </w:tc>
        <w:tc>
          <w:tcPr>
            <w:tcW w:w="6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</w:t>
            </w:r>
            <w:hyperlink r:id="rId9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закон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от 06.10.2003 N 131-ФЗ "Об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общих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принципах организации местного самоуправления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Российской Федерации", Федеральный </w:t>
            </w:r>
            <w:hyperlink r:id="rId10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закон</w:t>
              </w:r>
            </w:hyperlink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от 23.11.2009 N 261-ФЗ "Об энергосбережении и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повышении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энергетической эффективности и внесении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изменений в отдельные законодательные акты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Российской Федерации" (далее по тексту - 261-ФЗ),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hyperlink r:id="rId1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Постановление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Правительства РФ от 31.12.2009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1225 "О требованиях к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региональным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и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муниципальным программам в области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энергосбережения и повышения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энергетической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эффективности", </w:t>
            </w:r>
            <w:hyperlink r:id="rId1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Приказ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Минрегиона РФ от 07.06.2010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273 "Об утверждении Методики расчета значений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целевых показателей в области энергосбережения и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повышения энергетической эффективности, в том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числе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в сопоставимых условиях", распоряжение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администрации города Бузулука от 30.09.2013 N 19-р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"Об утверждении Перечня муниципальных программ"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2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Заказчик-координатор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   </w:t>
            </w:r>
          </w:p>
        </w:tc>
        <w:tc>
          <w:tcPr>
            <w:tcW w:w="6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Заместитель главы администрации города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промышленности, транспорту и энергетике       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2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Ответственный   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исполнитель программы </w:t>
            </w:r>
          </w:p>
        </w:tc>
        <w:tc>
          <w:tcPr>
            <w:tcW w:w="6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Управление жилищно-коммунального хозяйства и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транспорта администрации города Бузулука (далее -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УЖКХиТ)                                       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2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Соисполнители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   </w:t>
            </w:r>
          </w:p>
        </w:tc>
        <w:tc>
          <w:tcPr>
            <w:tcW w:w="6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Управление по культуре, спорту и молодежной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политике администрации города Бузулука, Управление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образования администрации города Бузулука         </w:t>
            </w:r>
          </w:p>
        </w:tc>
      </w:tr>
      <w:tr w:rsidR="00B63FE3">
        <w:trPr>
          <w:trHeight w:val="4000"/>
          <w:tblCellSpacing w:w="5" w:type="nil"/>
        </w:trPr>
        <w:tc>
          <w:tcPr>
            <w:tcW w:w="2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Цели и задачи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            </w:t>
            </w:r>
          </w:p>
        </w:tc>
        <w:tc>
          <w:tcPr>
            <w:tcW w:w="6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Цель: Обеспечение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устойчивого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и эффективного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функционирования экономики города Бузулука за счет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рационального использования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энергетических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ресурсов и перевода экономики на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энергосберегающий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путь развития.            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Задачи:                   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1. Реализация требований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федерального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законодательства об энергосбережении и повышении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энергетической эффективности.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2. Создание условий для прекращения безучетного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потребления ресурсов и повышения эффективности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использования топлива, энергии, воды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учреждениях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в жилищном фонде и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внедрения энергоэффективных технологий на объектах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энергетической инфраструктуры.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3. Осуществление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организационных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и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институциональных преобразований, позволяющих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заинтересовать бизнес-сообщество, инвесторов,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производителей и потребителей, в экономии топлива,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энергии и воды                                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2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Основные показатели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результативности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выполнения программы  </w:t>
            </w:r>
          </w:p>
        </w:tc>
        <w:tc>
          <w:tcPr>
            <w:tcW w:w="6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Основные </w:t>
            </w:r>
            <w:hyperlink w:anchor="Par712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показатели</w:t>
              </w:r>
            </w:hyperlink>
            <w:r>
              <w:rPr>
                <w:rFonts w:ascii="Courier New" w:hAnsi="Courier New" w:cs="Courier New"/>
                <w:sz w:val="20"/>
                <w:szCs w:val="20"/>
              </w:rPr>
              <w:t xml:space="preserve"> результативности выполнения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Программы приведены в приложении N 1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настоящей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Программе                                       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2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Сроки (этапы)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реализации программы  </w:t>
            </w:r>
          </w:p>
        </w:tc>
        <w:tc>
          <w:tcPr>
            <w:tcW w:w="6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2014 - 2015 годы.         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Программа реализуется в 2 этапа: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 этап - 2014 год;        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II этап - 2015 год.                               </w:t>
            </w:r>
          </w:p>
        </w:tc>
      </w:tr>
      <w:tr w:rsidR="00B63FE3">
        <w:trPr>
          <w:trHeight w:val="2000"/>
          <w:tblCellSpacing w:w="5" w:type="nil"/>
        </w:trPr>
        <w:tc>
          <w:tcPr>
            <w:tcW w:w="2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Финансовое обеспечение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программных     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мероприятий           </w:t>
            </w:r>
          </w:p>
        </w:tc>
        <w:tc>
          <w:tcPr>
            <w:tcW w:w="6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 финансирования на 2014 - 2015 гг. - 58413,3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тыс. руб., из них:        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бюджет - 5693,3 тыс. руб.,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числе:              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2014 год - 3713,3 тыс. руб.;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2015 год - 1980,0 тыс. руб.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внебюджетные средства - 52720,0 тыс. руб.,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том числе:              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2014 год - 26380,0 тыс. руб.;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2015 год - 26340,0 тыс. руб.                      </w:t>
            </w:r>
          </w:p>
        </w:tc>
      </w:tr>
      <w:tr w:rsidR="00B63FE3">
        <w:trPr>
          <w:trHeight w:val="2600"/>
          <w:tblCellSpacing w:w="5" w:type="nil"/>
        </w:trPr>
        <w:tc>
          <w:tcPr>
            <w:tcW w:w="28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Ожидаемый результат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реализации программы  </w:t>
            </w:r>
          </w:p>
        </w:tc>
        <w:tc>
          <w:tcPr>
            <w:tcW w:w="6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Доля объемов энергетических ресурсов, потребляемых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муниципальными учреждениями, расчеты за которые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осуществляются с использованием приборов учета: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электрической энергии - 100 %;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тепловой энергии - 100 %;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воды - 100 %;           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доля объемов энергетических ресурсов,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потребляемых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многоквартирными домами, расчеты за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которые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использованием приборов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учета:                    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электрической энергии - 100 %;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тепловой энергии - 77 %;        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воды - 100 %.                                   </w:t>
            </w:r>
          </w:p>
        </w:tc>
      </w:tr>
    </w:tbl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Характеристика (содержание) проблемы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Программа направлена на создание организационно-финансовых механизмов взаимодействия, концентрацию ресурсов субъектов экономики и построение функциональной системы управления в сфере энергосбережения.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Программно-целевой метод позволяет последовательно решать вопросы повышения уровня энергоэффективности во всех сферах экономической деятельности.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Энергосбережение и повышение энергетической эффективности в многоквартирных домах (далее по тексту - МКД)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Общая характеристика жилого фонда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городе 1030 домов являются многоквартирными с общей площадью зданий 1,08 млн. кв. м. Управление многоквартирным жилищным фондом в основном осуществляют 4 управляющие компании, на долю которых приходится 60,8 % МКД.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Основой многоквартирного жилищного фонда города являются двух- и пятиэтажные здания, на долю которых приходится около 91 % всей площади.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зданиях двух- и пятиэтажной застройки проживает 90 % от общего количества жителей.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массовое строительство жилых домов в городе происходило в период с 1968 по 1996 гг. Доля современных домов, построенных после 2000 года, составляет 9 % от общей площади.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Около 65 % площадей жилых домов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оборудованы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централизованным отоплением, 51 % - централизованным горячим водоснабжением и 72 % - централизованным холодным водоснабжением. Преобладают дома с открытой схемой теплоснабжения, отапливаемая площадь таких зданий составляет 49 % от общей площади. На дома с закрытой схемой теплоснабжения приходится 41 % всей отапливаемой площади. Остальную долю составляют жилые дома без горячего водоснабжения.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систем освещения мест общего пользования в домах характерны, в большинстве случаев, применение низкоэффективных ламп накаливания и местное управление работой осветительных установок.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основной цели, заключающейся в создании безопасных и благоприятных условий проживания граждан в многоквартирных домах и снижении физического износа последних, в результате выполнения капитальных ремонтов повышается энергетическая эффективность объектов за счет реализации следующих основных мероприятий: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ремонта кровли и фасадов;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утепления торцов;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ремонта внутридомовых инженерных систем с установкой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приборов учета потребления ресурсов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Установка коллективных приборов учета в МКД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РФ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 необходимо установить коллективные приборы учета: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тепловой энергии и теплоносителя в 100 МКД;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горячей воды (счетчики горячей воды) в 298 МКД;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холодной воды в 323 МКД;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Эффективные мероприятия по энергосбережению в МКД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часть потенциала энергосбережения и повышения энергетической эффективности сосредоточена в многоэтажных домах, построенных до 2000 года.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Оценка суммарного технического потенциала энергоресурсосбережения и повышения энергетической эффективности в многоквартирных домах старой застройки по результатам выборочных энергетических экспресс-обследований показала теоретическую возможность экономии ежегодно: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системах водопотребления МКД - около 1,14 млн. куб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воды, или около 26 % от годового потребления;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системах отопления и горячего водоснабжения МКД - 116,6 тыс. Гкал тепловой энергии, или 41 % от годового теплопотребления;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системах освещения мест общего пользования и наружного освещения МКД - 3,2 млн. кВт/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, или 77 % от годового потребления на общие нужды.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Реализация потенциала энергоресурсосбережения в МКД, в первую очередь, должна осуществляться за счет внедрения следующих наиболее эффективных, быстроокупаемых мероприятий: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установки автоматизированных узлов управления системами отопления;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установки квартирных приборов учета горячей и холодной воды;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ламп накаливания в системах освещения мест общего пользования компактными люминесцентными лампами;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применения фотореле для управления временем работы осветительных установок систем освещения.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Энергосбережение и повышение энергетической эффективности на объектах бюджетной сферы - потребителях коммунальных ресурсов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Общая характеристика объектов бюджетной сферы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городе Бузулуке функционирует 72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учреждения, относящееся по деятельности к сферам здравоохранения, социального обеспечения населения, образования, культуры, физической культуры и спорта.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муниципальных учреждений социальной сферы состоит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системы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13 общеобразовательными школами, специальной коррекционной школой, 26 дошкольными образовательными учреждениями, вечерней (общеобразовательной) школой, учреждениями дополнительного образования;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сети культурных учреждений, включающей МБУК г. Бузулука ДСК "Победа", МБУК "Дворец Культуры "Юбилейный", МБУК "Бузулукский краеведческий музей", Муниципальное дополнительного образования детей "Детская музыкальная школа им. Шаляпина", МБУК ДК "Машиностроитель";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системы физкультурно-спортивных учреждений, представленной муниципальным образовательным учреждением дополнительного образования детей "Детско-юношеская спортивная школа N 2", Муниципальным автономным учреждением "Водноспортивный комплекс "Нефтяник".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Большинство зданий муниципальных учреждений централизованно обеспечиваются горячим водоснабжением и отоплением и для них характерны проблемы, приводящие к перерасходу коммунальных ресурсов, аналогичные проблемам в многоквартирных домах: прежде всего, несоответствие температурных графиков теплоснабжающих организаций потребностям систем отопления зданий и отсутствие средств регулирования в системах отопления.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Потребность в приборах учета на объектах бюджетной сферы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Федерации", в рамках настоящей Программы в муниципальных учреждениях необходимо установить: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- 13 приборов учета тепловой энергии и теплоносителя;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- 22 прибора учета (водосчетчик) горячей воды;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- 9 приборов учета (водосчетчика) холодной воды.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стоимость работ ориентировочно составляет 5,69 млн. рублей.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 Эффективные мероприятия по энергосбережению на объектах бюджетной сферы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Суммарный технический потенциал энергоресурсосбережения и повышения энергетической эффективности в муниципальных учреждениях оценочно составляет: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системах водопотребления 175,5 тыс. куб. м воды в год, или 20 % от годового потребления;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системах отопления и горячего водоснабжения 20,7 тыс. Гкал тепловой энергии в год, или около 47 % от годового теплопотребления;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системах электропотребления 1,1 млн. кВт 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/год, или 18 % от годового потребления.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Реализация потенциала энергоресурсосбережения, в первую очередь, должна осуществляться за счет внедрения следующих мероприятий: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установки автоматизированных узлов управления системами отопления;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установки приборов учета воды (при их отсутствии), экономичной водоразборной аппаратуры с одновременным внедрением организационных мероприятий по контролю за непроизводительным расходованием воды и стимулированию экономии путем материального поощрения персонала;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ламп накаливания на компактные люминесцентные лампы;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люминесцентных ламп типа ЛБ, ЛД на современные люминесцентные лампы с более высокой светоотдачей типа Т8;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существующей электромагнитной пускорегулирующей аппаратуры люминесцентных ламп на электронные ПРА (балласты);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светильников наружного освещения с лампами типа ДРЛ на светильники с натриевыми лампами типа ДНаТ;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применения фотореле для управления временем работы наружного освещения.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Энергосбережение и повышение энергетической эффективности при производстве и передаче коммунальных ресурсов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РФ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Федерации, организации, осуществляющие регулируемые виды деятельности, должны утверждать и реализовывать программы в области энергосбережения и повышения энергетической эффективности.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Требования к программам регламентированы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 мая 2010 г. N 340 "О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деятельности".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Программы организаций должны стать основой для корректировки настоящей Программы и базироваться на результатах проведенных обязательных энергетических обследований, целью которых является определение потенциала энергоресурсосбережения и повышения энергетической эффективности, а также разработка перечня мероприятий по его реализации с проведением стоимостной оценки предложений.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Источники электрической и тепловой энергии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 Общая характеристика источников электрической и тепловой энергии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городе отсутствуют собственные источники электроэнергии.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городе функционирует 7 ведомственных котельных и 37 муниципальных котельных МУП ЖКХ, обеспечивающих теплом население и объекты бюджетной сферы.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хозяйственном ведении МУП ЖКХ находятся 37 котельных, расположенных в черте города, а также присоединенные к ним тепловые сети и теплосетевые объекты.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источники МУП ЖКХ работают на природном газе.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Помимо рассмотренных выше энергоисточников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Бузулуке функционирует ряд ведомственных котельных.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отметить, что во многих котельных МУП ЖКХ фактическая загрузка топливоиспользующего оборудования не превышает 50 %. Вследствие этого котлоагрегаты зачастую не работают в номинальном режиме, что приводит к снижению их КПД и нерациональному расходу топлива. Это подтверждается низкими для оборудования, работающего на природном газе, средневзвешенными значениями КПД брутто котельных: 86 % в котельных МУП "ЖКХ города Бузулука".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 Эффективные мероприятия по энергосбережению на источниках тепловой энергии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Внедрению мероприятий по энергоресурсосбережению и повышению энергетической эффективности в котельных должна предшествовать проработка </w:t>
      </w:r>
      <w:r>
        <w:rPr>
          <w:rFonts w:ascii="Times New Roman" w:hAnsi="Times New Roman" w:cs="Times New Roman"/>
          <w:sz w:val="24"/>
          <w:szCs w:val="24"/>
        </w:rPr>
        <w:lastRenderedPageBreak/>
        <w:t>вариантов оптимального перераспределения тепловых нагрузок в пользу наиболее энергоэффективных теплоисточников. В результате этой проработки ряд котельных может быть ликвидирован, что делает бесполезным внедрение энергосберегающих мероприятий на данных объектах.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Потенциал энергосбережения в котельных может быть реализован за счет следующих типовых мероприятий: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замены физически и морально устаревших котлов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современные с соответствующей производительностью;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автоматизации работы основного и вспомогательного оборудования котельных на базе контроллеров;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рационального распределения нагрузки между несколькими одновременно работающими котлами;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использования тепловой энергии непрерывной продувки котлов;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наладки топливоиспользующего оборудования (котлоагрегатов) с получением оптимальных режимов работы во всем диапазоне нагрузок;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составления и своевременного обновления режимных карт;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наладка водно-химического режима работы котлов для предотвращения загрязнений на внутренних поверхностях;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поддержания продувки паровых котлов в нормативных значениях;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устранения присосов воздуха в газоходах и обмуровках котлов;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использования тепловыделений котлов для подогрева дутьевого воздуха, поступающего на горение;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глубокой утилизации тепла дымовых газов;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использования эффективных теплоизоляционных материалов при изоляции котлов, теплопроводов и вспомогательного технологического оборудования;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перевода паровых котлов в водогрейный режим в случае отсутствия необходимости в паре;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установка частотно-регулируемого привода на насосы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тяго-дутьевое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оборудование котлов;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замены устаревших насосов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современные с высоким электромеханическим КПД;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замены существующих осветительных систем на системы на базе энергоэффективных ламп.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энергетических обследований котельных показывает, что экономический потенциал энергосбережения и повышения энергоэффективности в среднем составляет 60 - 70 % от технического, или, для рассматриваемых котельных города, 5,7 - 6,7 тыс. т у.т. в год.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Более точно потенциал энергосбережения и повышения энергетической эффективности на источниках тепловой энергии должен быть определен и реализован в результате проведения обязательных энергетических обследований и внедрения предложенных энергосберегающих мероприятий.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 Развитие нетрадиционной и возобновляемой энергетики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Принимая во внимание местоположение и значение города Бузулука, наличие в нем развитых транспортных структур (железнодорожный узел, автомобильный общественный транспорт), теплоэнергетических и промышленных объектов (машиностроительные заводы, предприятия нефтегазодобывающей промышленности), следует отметить, что регион имеет достаточно большое скопление моторного топлива и горюче-смазочных материалов.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Наличие некондиционного моторного топлива, отработанных масел и нефтеотходов (промывочные жидкости и пр.), подлежащих утилизации, последнее время чаще рассматривается, как некоторый потенциал альтернативного топлива для нужд теплоснабжения.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Этот потенциал региона можно оценить величиной около 3 тыс. т, из которых на долю отработанных масел, как наиболее калорийных отходов, приходится 50 %, что при эквивалентной калорийности 1,45 составляет 2175 т у.т.; доля </w:t>
      </w:r>
      <w:r>
        <w:rPr>
          <w:rFonts w:ascii="Times New Roman" w:hAnsi="Times New Roman" w:cs="Times New Roman"/>
          <w:sz w:val="24"/>
          <w:szCs w:val="24"/>
        </w:rPr>
        <w:lastRenderedPageBreak/>
        <w:t>некондиционного топлива меньше, они менее калорийны, в эквиваленте 1,35 составляют 2025 т у.т. В сумме 4200 т у.т., что сопоставимо с топливными потерями мазута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калорийности. При использовании такого объема топлива оценочно можно получить тепловой энергии до 29,4 тыс. Гкал, что соответствует 25 тыс. Гкал отпущенной тепловой энергии при коэффициенте полезного использования топлива, равном 85 %, на сумму 28,4 млн. руб.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Теоретически некондиционное топливо и отработанные масла можно рассматривать в качестве котельно-печного топлива, как добавки к мазутам, выполнив предварительную их очистку и обезвреживание, т.е. топливоподготовку. Однако, для более эффективного, безопасного и рационального их использования целесообразно разработать программу их сбора и утилизации, включая такие моменты, как: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продление ресурса использования по назначению и очистка для вторичного использования без дополнительных технологий восстановления или переработки;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раздельный сбор и восстановление для повторного применения по назначению исходного материала (процесс более дорогой, чем предыдущий);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переработка и получение полезного продукта (концентрата), применяемого не по прямому назначению исходного материала;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обезвреживание и выделение опасных остатков для специализированного уничтожения (химического, биологического или высокотемпературного), не включаемых в топливный ресурс энергоснабжающих объектов;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выделение продукта в качестве добавки к топливному ресурсу (например, для производства моторного дизтоплива с улучшенными характеристиками);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выделение продукта в качестве топливного ресурса и/или в качестве добавки к топливному ресурсу сжигания для нужд энергоснабжающих объектов.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некондиционного топлива и отработавших масел в качестве основного котельно-печного топлива в условиях города затруднено в связи с тем, что городские источники тепла используют в основном природный газ. В данном случае возможно применение некондиционного топлива и отработавших масел как резервного топлива либо рассмотреть возможность перевода на него части котельных.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Поэтому для развития сектора использования альтернативных топлив и альтернативных источников энергии в городе целесообразно рассмотреть возможность проведения специализированного аудита на предмет оценки потенциалов использования альтернативных топлив, вынужденного накопления.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Электрические сети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 Общая характеристика электрических сетей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Электроснабжение города осуществляют электросетевые компании "Бузулукские коммунальные электрические сети" - филиал Государственного унитарного предприятия коммунальных электрических сетей "Оренбургкоммунэлектросеть" (далее по тексту - БКЭС) и Производственное отделение "Западные электрические сети" "Оренбургэнерго" - филиала Открытого акционерного общества "Межрегиональная сетевая компания Волги" (далее по тексту - ПО ЗЭС).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городе работают две энергосбытовые компании: Южно-Уральский филиал Общества с ограниченной ответственностью "Русэнергосбыт" и Западный филиал "Оренбургэнергосбыт", осуществляющие взаимодействие между потребителями и поставщиками электрической энергии.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Электроснабжение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Бузулука осуществляется от Оренбургской энергосистемы через понижающую подстанцию "Бузулукская" 220/110/35/6 кВ ПО ЗЭС. Распределение электроэнергии по городу производится от семи понижающих подстанций ПО ЗЭС, БКЭС и Открытого акционерного общества "Бузулуктяжмаш".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электроэнергии по потребителям производится как непосредственно с шин подстанций, так и через девять распределительных пунктов.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Основными проблемами в системе электроснабжения являются значительно выработанный парковый ресурс оборудования, ограничения пропускной способности электрических сетей, перегруженность части электрических подстанций и, как следствие, ограниченные возможности по подключению новых потребителей.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этих условиях весьма актуальным является вопрос о возможностях снижения электрической нагрузки в наиболее проблемных районах города за счет реализации мер по энергосбережению.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 Эффективные мероприятия по энергосбережению в электрических сетях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использовании в модернизации и новом строительстве современных технологий и оборудования по истечении времени их внедрения в электросистеме города можно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достигнуть потерь на уровне международной практики, в которой потери в магистральных и распределительных сетях в сумме не превышают 5 % от поступления электроэнергии в сеть. Исходя из этого, существующий технический потенциал можно оценить в 15 млн. кВт/</w:t>
      </w:r>
      <w:proofErr w:type="gramStart"/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точно потенциал энергосбережения и повышения энергетической эффективности в системе электроснабжения должен быть определен и реализован в результате проведения обязательных энергетических обследований и внедрения предложенных энергосберегающих мероприятий.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 Системы водоснабжения и водоотведения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 Общая характеристика систем водоснабжения и водоотведения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Централизованное водоснабжение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Бузулука базируется на подземных безнапорных водах долины реки Самара и осуществляется МУП "ВКХ".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Водоснабжение населения города осуществляется из 38 скважин Красногвардейского водозабора.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в городе функционирует система централизованного водоотведения (канализации) МУП "ВКХ" с сооружениями механической и биологической очистки стоков расчетной производительностью 40,0 тыс. куб. м/сут.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стоки поступают на одиннадцать промежуточных канализационных насосных станций, откуда по напорным канализационным коллекторам поступают в три самотечных коллектора. Далее сточные воды по трем основным канализационным коллекторам поступают на главную насосную канализационную станцию (далее по тексту - ГКНС) с расчетной производительностью 46,3 тыс. куб. м/сут.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Хозяйственно-бытовые стоки от ГКНС поступают на очистные сооружения канализации (далее по тексту - ОСК). Очищенные сточные воды поступают в сборный канал и далее по выпуску непосредственно в реку Самара.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большая часть городских канализационных сетей прокладывалась в 70 - 80-е гг. прошлого века, состояние их неудовлетворительное. Средний физический износ канализационных сетей составляет 61 %, а отдельные участки в центре города имеют износ 80 % и более, поэтому требуется их капитальный ремонт и замена.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Энергосбережение и повышение энергетической эффективности на общественном транспорте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маршрутах города Бузулука осуществляют пассажирские перевозки 216 индивидуальных предпринимателей и два юридических лица: Общество с ограниченной ответственностью "Бузулукское автотранспортное предприятие" и Общество с ограниченной ответственностью "Сигнал" (автопарк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пассажирских автобусов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марки ГАЗ-322131 достигает 331 ед., марки ПАЗ - 20 ед.).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решена актуальная задача в области ресурсосбережения и экологии на общественном транспорте города Бузулука, так как в большем количестве в качестве топлива применяется газ. Таким образом, экономический потенциал ресурсосбережения на общественном транспорте практически реализован.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Пропаганда энергосбережения и повышения энергетической эффективности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Целью пропаганды энергосбережения и повышения энергетической эффективности является стимулирование рационального использования энергии и коммунальных ресурсов, информирование потребителей о возможностях энергосбережения и повышения энергетической эффективности, повышение доступности информации о способах энергосбережения и повышения энергетической эффективности, а также о результатах деятельности в этой области.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перечень мероприятий по пропаганде энергосбережения и повышения энергетической эффективности, вмененных законодательством, входят: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Информирование об установленных законодательством Российской Федерации об энергосбережении и повышении энергетической эффективности правах и обязанностях физических лиц, о требованиях, предъявляемых к собственникам жилых домов, собственникам помещений в многоквартирных домах, лицам, ответственным за содержание многоквартирных домов, об иных требованиях законодательства Российской Федерации об энергосбережении и повышении энергетической эффективности.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Информирование потребителей энергетических ресурсов о способах экономии энергетических ресурсов и повышения энергетической эффективности их использования организациями, осуществляющими снабжение потребителей энергетическими ресурсами.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Использование социальной рекламы для информирования о способах энергосбережения, источниках расширенной информации об энергосбережении, формирования престижа экономного отношения к энергетическим ресурсам.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Организация распространения в средствах массовой информации тематических теле- и радиопередач, информационно-просветительских программ о мероприятиях и способах энергосбережения и повышения энергетической эффективности, о выдающихся достижениях, в том числе зарубежных, в области энергосбережения и повышения энергетической эффективности и иной актуальной информации в данной области.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Разработка и распространение учебно-методических пособий по энергосбережению для управляющих компаний и Товариществ собственников жилья, учреждений здравоохранения, учреждений образования, иных организаций бюджетной сферы.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Организация обучения способам энергосбережения и повышения энергетической эффективности для лиц, ответственных за эксплуатацию зданий в учреждениях здравоохранения, образования, иных организаций бюджетной сферы, а также для руководителей и лиц, ответственных за эксплуатацию зданий, управляющих компаний и Товариществ собственников жилья.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Проведение ежегодных межрегиональных выставок и семинаров по обмену опытом в области энергосбережения и повышения энергетической эффективности.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Создание демонстрационно-опытных площадок по энергосбережению и повышению энергетической эффективности с показом передовых технологий энергосбережения, предоставлением информации о компаниях, оказывающих услуги в области энергосбережения, проведением обучения ответственных лиц.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УЖКХ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ежегодно утверждает детальный план мероприятий по пропаганде энергосбережения и повышения энергетической эффективности на следующий год, с указанием конкретных мероприятий, предполагаемого объема финансирования этих мероприятий и ожидаемых эффектов от реализации этих мероприятий.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информационным ресурсом администрации города Бузулука должен являться соответствующий раздел, дополнительно внесенный на сайт администрации в сети Интернет. Этот сайт должен быть интегрирован в государственную информационную систему в области энергосбережения и повышения энергетической эффективности (до начала функционирования упомянутой государственной информационной системы сайт работает отдельно) и содержать следующие сведения: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 настоящей программе в области энергосбережения и повышения энергетической эффективности и о ходе ее реализации;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об объеме использования энергетических ресурсов, об энергосбережении и о повышении энергетической эффективности, обобщенные относительно отраслей экономики и жилищно-коммунального хозяйства в городском округе;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 оснащенности приборами учета используемых энергетических ресурсов, обобщенные относительно государственного, муниципального, частного жилищных фондов;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полученные в ходе обработки, систематизации и анализа данных энергетических паспортов, составленных по результатам обязательных энергетических обследований предприятий и организаций;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 количестве и об основных результатах обязательных энергетических обследований;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 практике заключения энергосервисных договоров (контрактов), в том числе энергосервисных договоров (контрактов), заключенных для обеспечения государственных или муниципальных нужд, и об объеме планируемой экономии энергетических ресурсов при реализации энергосервисных договоров (контрактов);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 продукции, технологических процессах, связанных с использованием энергетических ресурсов и имеющих высокую энергетическую эффективность, о наиболее результативных мероприятиях по энергосбережению, о перспективных направлениях энергосбережения и повышения энергетической эффективности;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об объеме предоставления государственной поддержки в области энергосбережения и повышения энергетической эффективности;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о нарушениях законодательства об энергосбережении и о повышении энергетической эффективности;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о нормативных правовых актах Российской Федерации, местных нормативных правовых актах об энергосбережении и о повышении энергетической эффективности;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иные сведения в области энергосбережения и повышения энергетической эффективности, установленные законодательством Российской Федерации об энергосбережении и повышении энергетической эффективности или определенные администрацией городского округа.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Информация, размещенная в разделе сайта администрации в сети Интернет, посвященном энергосбережению и повышению энергетической эффективности, подлежит обновлению не реже одного раза в квартал.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Эффективность реализации мероприятий в области пропаганды энергосбережения и повышения энергетической эффективности оценивается как достижение заданных уровней сокращения потребления энергетических ресурсов в жилищном секторе.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Потенциал сокращения потребления энергетических ресурсов определяется исходя из средних показателей эффективности рекламно-пропагандистских компаний, составляющих не менее 5 %.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Правовое обоснование разработки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требованиями Федерального </w:t>
      </w:r>
      <w:hyperlink r:id="rId1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Федерального </w:t>
      </w:r>
      <w:hyperlink r:id="rId1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23.11.2009 N 261-ФЗ "Об энергосбережении и повышении энергетической эффективности и внесении изменений в отдельные законодательные акты Российской Федерации", Федерального </w:t>
      </w:r>
      <w:hyperlink r:id="rId1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23.11.2009 N 261-ФЗ "Об энергосбережении и повышении энергетической эффективности и внесении изменений в отдельные законодательные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акты Российской Федерации" (далее по тексту - 261-ФЗ), </w:t>
      </w:r>
      <w:hyperlink r:id="rId2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РФ от 31.12.2009 N 1225 "О требованиях к региональным и муниципальным программам в области энергосбережения и повышения энергетической эффективности", </w:t>
      </w:r>
      <w:hyperlink r:id="rId2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Минрегиона РФ от 07.06.2010 N 273 "Об утверждении Методики расчета значений целевых показателей в области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энергосбережения и повышения энергетической эффективности, в том числе в сопоставимых условиях", </w:t>
      </w:r>
      <w:hyperlink r:id="rId2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Устава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города Бузулука, распоряжения 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города Бузулука от 30.09.2013 N 19-р "Об утверждении Перечня муниципальных программ".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Цели, задачи и целевые индикаторы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2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Стратегией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развития муниципального образования город Бузулук Оренбургской области до 2020 года, утвержденной решением городского Совета депутатов от 30.03.2012 N 233, </w:t>
      </w:r>
      <w:hyperlink r:id="rId2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Программой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комплексного социально-экономического развития муниципального образования город Бузулук Оренбургской области на 2013 - 2015 годы, утвержденной решением городского Совета депутатов от 25.07.2012 N 290, системой целеполагания деятельности администрации муниципального образования город Бузулук Оренбургской области, утвержденной постановлением администрации города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17.12.2009 N 285 (в ред. постановления администрации города от 24.07.2013 N 260-п), цель Программы направлена на достижение вышестоящей тактической цели - совершенствование системы муниципального управления.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Целью настоящей Программы является обеспечение устойчивого и эффективного функционирования экономики города Бузулука за счет рационального использования энергетических ресурсов и перевода экономики на энергосберегающий путь развития.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этой цели необходимо решить следующие задачи: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требований федерального законодательства об энергосбережении и повышении энергетической эффективности;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условий для прекращения безучетного потребления ресурсов и повышения эффективности использования топлива, энергии, воды в муниципальных учреждениях, в жилом фонде и внедрения энергоэффективных технологий на объектах энергетической инфраструктуры;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организационных и институциональных преобразований, позволяющих заинтересовать бизнес-сообщество, инвесторов, производителей и потребителей, в экономии топлива, энергии и воды.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Исходя из поставленных целей и задач, в перспективе необходимо обеспечить достижение следующих целевых показателей в области энергосбережения и повышения энергетической эффективности, </w:t>
      </w:r>
      <w:hyperlink r:id="rId2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которых регламентирован постановлением Правительства Российской Федерации от 31 декабря 2009 года N 1225 "О требованиях к региональным и муниципальным программам в области энергосбережения и повышения энергетической эффективности":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545"/>
        <w:gridCol w:w="1309"/>
        <w:gridCol w:w="1309"/>
      </w:tblGrid>
      <w:tr w:rsidR="00B63FE3">
        <w:trPr>
          <w:tblCellSpacing w:w="5" w:type="nil"/>
        </w:trPr>
        <w:tc>
          <w:tcPr>
            <w:tcW w:w="6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2014   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2015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Целевые показатели повышения уровня оснащенности приборами учета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используемых энергетических ресурсов               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Доля объемов энергетических ресурсов, потребляемых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муниципальными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учреждениями и жилыми домами, расчеты за которые осуществляются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использованием приборов учета (в т.ч. индивидуальных)      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%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%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77,3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78,0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%        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%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Доля объемов энергетических ресурсов, потребляемых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муниципальными учреждениями, расчеты за которые осуществляются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с использованием приборов учета                 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%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Теплоэнергия, %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%        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%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Доля объемов энергетических ресурсов, потребляемых в жилых домах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(за исключением многоквартирных домов), расчеты за которые осуществляются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использованием приборов учета, в общем объеме энергетических ресурсов,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потребляемых в жилых домах (за исключением многоквартирных домов)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%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%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%        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%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Доля объемов энергетических ресурсов, потребляемых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многоквартирных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домах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расчеты за которые осуществляются с использованием коллективных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(общедомовых) приборов учета, в общем объеме энергетических ресурсов,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потребляемых в многоквартирных домах                   </w:t>
            </w:r>
            <w:proofErr w:type="gramEnd"/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%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%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76,2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76,9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%        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100,0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Целевые показатели повышения эффективности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использования энергетических ресурсов в жилищном фонде          </w:t>
            </w:r>
          </w:p>
        </w:tc>
      </w:tr>
      <w:tr w:rsidR="00B63FE3">
        <w:trPr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Удельный расход энергетических ресурсов во всех жилых домах   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26,9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26,6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Гкал/кв. м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0,251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0,244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3,85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3,67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Удельный расход энергетических ресурсов в жилых домах, расчеты за которые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осуществляются с использованием приборов учета (в части многоквартирных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домов - с использованием коллективных (общедомовых) приборов учета)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26,9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26,6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Гкал/кв. м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0,239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0,230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3,85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3,67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Удельный расход энергетических ресурсов в жилых домах,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расчеты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 которые осуществляются с применением нормативов потребления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0,0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0,0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Гкал/кв. м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0,300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Изменение удельного расхода энергетических ресурсов в жилых домах,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расчеты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 которые осуществляются с использованием приборов учета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(в части многоквартирных домов - с использованием коллективных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(общедомовых) приборов учета)                      </w:t>
            </w:r>
            <w:proofErr w:type="gramEnd"/>
          </w:p>
        </w:tc>
      </w:tr>
      <w:tr w:rsidR="00B63FE3">
        <w:trPr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Изменение удельного расхода                   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Электроэнергия,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-0,222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-0,221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Гкал/кв. м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-0,0090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-0,0088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-0,183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-0,183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Изменение удельного расхода в сопоставимых условиях       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-2,204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-2,425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Гкал/кв. м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-0,0355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-0,0443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-0,550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-0,734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Изменение удельного расхода энергетических ресурсов в жилых домах,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расчеты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 которые осуществляются с применением нормативов потребления  </w:t>
            </w:r>
          </w:p>
        </w:tc>
      </w:tr>
      <w:tr w:rsidR="00B63FE3">
        <w:trPr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Изменение удельного расхода                   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0,0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0,0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Гкал/кв. м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Изменение удельного расхода в сопоставимых условиях       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0,0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0,0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Гкал/кв. м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-0,0076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-0,0076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-4,666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-4,666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Изменение отношения удельного расхода энергетических ресурсов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жилых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домах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расчеты за которые осуществляются с применением нормативов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потребления, к удельному расходу энергетических ресурсов в жилых домах,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расчеты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за которые осуществляются с использованием приборов учета    </w:t>
            </w:r>
          </w:p>
        </w:tc>
      </w:tr>
      <w:tr w:rsidR="00B63FE3">
        <w:trPr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Изменение отношения удельного расхода              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Гкал/кв. м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1,256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1,304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Изменение отношения удельного расхода в сопоставимых условиях   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Электроэнергия,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Теплоэнергия, Гкал/кв. м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1,093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1,093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Вода,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Природный газ, 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/кв. м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Целевые показатели повышения эффективности использования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энергетических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ресурсов в муниципальных учреждениях-потребителях коммунальных ресурсов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удельный расход тепловой энергии (далее по тексту - УРТЭ)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(Гкал /1 кв. м общей площади)                  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УРТЭ на отопление,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использованием приборов учета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0,198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0,191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УРТЭ на горячее водоснабжение,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осуществляются с использованием приборов учета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0,035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0,034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УРТЭ на отопление,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применением расчетных способов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УРТЭ на горячее водоснабжение,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осуществляются с применением расчетных способов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Суммарный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УРТЭ на отопление и горячее 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водоснабжение во всех муниципальных учреждениях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0,233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0,225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суммарного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УРТЭ, расчеты за которую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осуществляются с использованием приборов учета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- 0,0082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- 0,0075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суммарного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УРТЭ, расчеты за которую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осуществляются с применением расчетных способов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отношения УРТЭ,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осуществляются с применением расчетных способов,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 УРТЭ,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использованием приборов учета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удельный расход воды (далее по тексту - УРВ) 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(куб.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1 кв. м общей площади)                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УРВ,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использованием приборов учета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4,625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4,462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УРВ,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применением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расчетных способов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УРВ во всех муниципальных учреждениях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4,625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4,462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УРВ,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использованием приборов учета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-0,163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-0,163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УРВ,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применением расчетных способов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отношения УРВ,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осуществляются с применением расчетных способов,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 УРВ,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использованием приборов учета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удельный расход электроэнергии (далее по тексту - УРЭЭ)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(кВт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на 1 кв. м общей площади)                 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УРЭЭ,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использованием приборов учета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32,84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31,69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УРЭЭ,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применением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расчетных способов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   </w:t>
            </w:r>
          </w:p>
        </w:tc>
      </w:tr>
      <w:tr w:rsidR="00B63FE3">
        <w:trPr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УРЭЭ во всех муниципальных учреждениях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32,84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31,69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УРЭЭ,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использованием приборов учета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-1,16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-1,15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УРЭЭ,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применением расчетных способов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 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отношения УРЭЭ,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осуществляются с применением расчетных способов,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УРЭЭ, расчеты за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которую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осуществляются с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использованием приборов учета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0,000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Целевые показатели сокращения потерь энергетических ресурсов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при их производстве, передаче, в том числе в системах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коммунальной инфраструктуры                   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Фактический объем потерь электрической энергии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ее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передаче по распределительным сетям, млн.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фактического объема потерь э/э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ее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передаче по распределительным сетям, %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Фактический объем потерь тепловой энергии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ее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передаче, тыс. Гкал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70,87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70,23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Динамика изменения фактического объема потерь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тепловой энергии при ее передаче, %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95,8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94,9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Фактический объем потерь воды при ее передаче,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тыс. куб. м    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Динамика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изменения фактического объема потерь воды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 ее передаче, %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Удельный расход электрической энергии при передаче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воды,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/м  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0,82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0,82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удельного расхода электрической энергии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передаче воды, %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99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99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Расход электрической энергии, используемой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передаче воды, тыс. 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6557,8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6557,8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Изменение объемов электрической энергии, используемой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 передаче воды, %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90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90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Удельный расход электрической энергии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производстве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тепловой энергии, кВт ч/Гкал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35,7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35,6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Удельный расход топлива на выработку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электрической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энергии тепловыми станциями, т у.т./кВт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ч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удельного расхода топлива на выработку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электрической энергии тепловыми станциями, %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Удельный расход топлива на выработку тепловой энергии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 городе, т у.т./ккал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0,1672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0,1642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удельного расхода топлива на выработку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тепловой энергии в городе, %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97,4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-95,7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Удельный расход топлива на выработку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электрической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энергии с использованием комбинированной выработки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электрической и тепловой энергии, т у.т./ккал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удельного расхода топлива на выработку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тепловой энергии с использованием комбинированной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выработки электрической и тепловой энергии, %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10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Целевые показатели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увеличения количества случаев использования объектов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имеющих высокую энергетическую эффективность, объектов, относящихся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объектам, имеющим высокий класс энергетической эффективности, и (или)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объектов, использующих в качестве источников энергии вторичные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энергетические ресурсы и (или) возобновляемые источники энергии 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Изменение объема производства энергетических ресурсов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использованием возобновляемых источников энергии и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(или) вторичных энергетических ресурсов, тыс. т у.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.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10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Доля энергетических ресурсов, производимых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с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использованием возобновляемых источников энергии и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(или) вторичных энергетических ресурсов, в общем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объеме энергетических ресурсов, производимых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на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территории муниципального образования, %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400"/>
          <w:tblCellSpacing w:w="5" w:type="nil"/>
        </w:trPr>
        <w:tc>
          <w:tcPr>
            <w:tcW w:w="9163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            Целевые показатели в области энергосбережения  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и повышения энергетической эффективности в транспортном комплексе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высокоэкономичных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по использованию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моторного топлива транспортных средств, относящихся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к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общественному транспорту, шт.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количества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высокоэкономичных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по 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использованию моторного топлива транспортных средств,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относящихся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к общественному транспорту, %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средств общественного транспорта,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отношении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которых проведены мероприятия по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энергосбережению и повышению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энергетической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эффективности, шт.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8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количества общественного транспорта,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отношении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которых проведены мероприятия по 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энергосбережению и повышению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энергетической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эффективности, %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транспортных средств, в отношении которых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проведены мероприятия по замещению бензина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природным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газом, шт.                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  <w:tr w:rsidR="00B63FE3">
        <w:trPr>
          <w:trHeight w:val="600"/>
          <w:tblCellSpacing w:w="5" w:type="nil"/>
        </w:trPr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Изменение количества транспортных средств,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отношении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которых проведены мероприятия по замещению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бензина природным газом, %                       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</w:t>
            </w:r>
          </w:p>
        </w:tc>
      </w:tr>
    </w:tbl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Перечень мероприятий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решения задач Программы и достижения поставленных целей необходимо реализовать комплекс взаимосвязанных мероприятий, приведенных в </w:t>
      </w:r>
      <w:hyperlink w:anchor="Par79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приложении N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Обоснование ресурсного обеспечения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Сводные данные по расчету потребности в ресурсном обеспечении, необходимом для реализации Программы в соответствии с задачами, приведены в </w:t>
      </w:r>
      <w:hyperlink w:anchor="Par79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приложении N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Финансирование затрат на реализацию мероприятий Программы осуществляется в строгом соответствии с положениями Бюджетного </w:t>
      </w:r>
      <w:hyperlink r:id="rId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действующего федерального законодательства, законодательства Оренбургской области и нормативно-правовых актов муниципального образования город Бузулук Оренбургской области.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финансирования за счет средств местного бюджета на 2014 - 2015 годы - 5693,3 тыс. руб., из них: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 году - 3713,3 тыс. руб.;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- 1980,0 тыс. руб.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внебюджетных средств осуществляется по согласованию и на договорной основе.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Механизм реализации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Комплексное управление реализацией Программы осуществляет заказчик - координатор, который несет ответственность за ее эффективность и результативность. Заказчик-координатор в рамках своей компетенции: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определяет наиболее эффективные формы и методы организации работ по реализации Программы;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 согласование объемов финансирования на очередной финансовый год и на весь период реализации Программы;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участвует в распределении выделяемых финансовых средств;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при изменении объемов финансирования Программы корректирует объемы и виды выполняемых работ на очередной финансовый год, определяет приоритеты, корректирует значения целевых показателей, принимает меры по обеспечению выполнения Программы;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ведет мониторинг реализации Программы;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разработку проектов нормативных правовых актов по вопросам реализации Программы;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вносит в установленном порядке предложения, связанные с корректировкой Программы.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 и соисполнители Программы: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осуществляют выполнение мероприятий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учетом выделяемых на реализацию Программы финансовых средств;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ежегодно уточняют целевые показатели и затраты по программным мероприятиям;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обеспечивают подготовку и представление предложений по финансированию мероприятий Программ в очередном финансовом году;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несут ответственность за своевременное выполнение мероприятий, предусмотренных Программой, целевое расходование средств и предоставляют заказчику-координатору информацию для подготовки отчета о ходе реализации Программы.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осуществляют мониторинг за реализацией мероприятий Программы;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несут ответственность за ее эффективность и результативность.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Ежеквартально до 10 числа месяца, следующего за отчетным периодом, ответственный исполнитель представляет в отдел целевых программ и административной реформы Управления экономического развития и торговли администрации города Бузулука и финансовый отдел администрации города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Бузулука отчет о ходе реализации Программы с пояснительной запиской, согласованной с заказчиком - координатором.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Ежегодно до 1 апреля года, следующего за отчетным периодом, ответственный исполнитель представляет в отдел целевых программ и административной реформы Управления экономического развития и торговли администрации города Бузулука отчет о ходе реализации и оценке эффективности Программы по установленной муниципальным нормативным правовым актом форме.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Реализация программных мероприятий осуществляется на основании договоров и муниципальных контрактов, заключаемых по итогам предусмотренных действующим федеральным законодательством процедур размещения заказов на поставки товаров, выполнение работ и оказание услуг для муниципальных нужд.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Прогноз ожидаемых результатов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оценка эффективности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программных мероприятий позволит обеспечить: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доля объемов энергетических ресурсов, потребляемых муниципальными учреждениями, расчеты за которые осуществляются с использованием приборов учета: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электрической энергии - 100 %;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тепловой энергии - 100 %;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воды - 100 %;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доля объемов энергетических ресурсов, потребляемых многоквартирными домами, расчеты за которые осуществляются с использованием приборов учета: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электрической энергии - 100 %;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тепловой энергии - 77 %;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воды - 100 %.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жилищно-коммунального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хозяйства и транспорта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Бузулука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Оренбургской области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Д.В.СЕДОВ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"Энергосбережение и повышение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энергетической эффективности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Бузулука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2014 - 2015 годы"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712"/>
      <w:bookmarkEnd w:id="1"/>
      <w:r>
        <w:rPr>
          <w:rFonts w:ascii="Times New Roman" w:hAnsi="Times New Roman" w:cs="Times New Roman"/>
          <w:sz w:val="24"/>
          <w:szCs w:val="24"/>
        </w:rPr>
        <w:t>Основные показатели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эффективности выполнения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2142"/>
        <w:gridCol w:w="2023"/>
        <w:gridCol w:w="1309"/>
        <w:gridCol w:w="1428"/>
        <w:gridCol w:w="1071"/>
        <w:gridCol w:w="1071"/>
      </w:tblGrid>
      <w:tr w:rsidR="00B63FE3">
        <w:trPr>
          <w:trHeight w:val="1000"/>
          <w:tblCellSpacing w:w="5" w:type="nil"/>
        </w:trPr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Мероприятие   </w:t>
            </w:r>
          </w:p>
        </w:tc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Целевой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индикатор   </w:t>
            </w:r>
          </w:p>
        </w:tc>
        <w:tc>
          <w:tcPr>
            <w:tcW w:w="13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Единица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измерения</w:t>
            </w:r>
          </w:p>
        </w:tc>
        <w:tc>
          <w:tcPr>
            <w:tcW w:w="14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Исходные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показатели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базового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года   </w:t>
            </w:r>
          </w:p>
        </w:tc>
        <w:tc>
          <w:tcPr>
            <w:tcW w:w="21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Показатели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эффективности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реализации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Программы   </w:t>
            </w:r>
          </w:p>
        </w:tc>
      </w:tr>
      <w:tr w:rsidR="00B63FE3">
        <w:trPr>
          <w:tblCellSpacing w:w="5" w:type="nil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2014 г.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2015 г.</w:t>
            </w:r>
          </w:p>
        </w:tc>
      </w:tr>
      <w:tr w:rsidR="00B63FE3">
        <w:trPr>
          <w:trHeight w:val="18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Монтаж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коллективных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приборов учета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тепловой энергии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теплоносителя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в         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многоквартирных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домах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многоквартирных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жилых домов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оборудованных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коллективными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приборами учета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тепловой 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энергии и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теплоносителя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штук   </w:t>
            </w:r>
          </w:p>
        </w:tc>
        <w:tc>
          <w:tcPr>
            <w:tcW w:w="1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138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188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238  </w:t>
            </w:r>
          </w:p>
        </w:tc>
      </w:tr>
      <w:tr w:rsidR="00B63FE3">
        <w:trPr>
          <w:trHeight w:val="1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2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Монтаж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коллективных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узлов учета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горячей воды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(счетчиков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горячей воды)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многоквартирных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домах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многоквартирных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жилых домов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оборудованных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коллективными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узлами учета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горячей воды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штук   </w:t>
            </w:r>
          </w:p>
        </w:tc>
        <w:tc>
          <w:tcPr>
            <w:tcW w:w="1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126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275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424  </w:t>
            </w:r>
          </w:p>
        </w:tc>
      </w:tr>
      <w:tr w:rsidR="00B63FE3">
        <w:trPr>
          <w:trHeight w:val="1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Монтаж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коллективных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узлов учета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холодной воды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(счетчиков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холодной воды)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многоквартирных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жилых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домах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Количество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многоквартирных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жилых домов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оборудованных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коллективными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узлами учета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холодной воды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штук   </w:t>
            </w:r>
          </w:p>
        </w:tc>
        <w:tc>
          <w:tcPr>
            <w:tcW w:w="1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147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309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470  </w:t>
            </w:r>
          </w:p>
        </w:tc>
      </w:tr>
      <w:tr w:rsidR="00B63FE3">
        <w:trPr>
          <w:trHeight w:val="18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4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Монтаж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коллективных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приборов учета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тепловой энергии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 теплоносителя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в муниципальных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учреждениях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муниципальных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оборудованных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коллективными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приборами учета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тепловой 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энергии и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теплоносителя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штук   </w:t>
            </w:r>
          </w:p>
        </w:tc>
        <w:tc>
          <w:tcPr>
            <w:tcW w:w="1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30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37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43   </w:t>
            </w:r>
          </w:p>
        </w:tc>
      </w:tr>
      <w:tr w:rsidR="00B63FE3">
        <w:trPr>
          <w:trHeight w:val="1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Монтаж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коллективных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узлов учета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горячей воды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(счетчиков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горячей воды)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муниципальных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учреждениях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муниципальных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оборудованных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коллективными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узлами учета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горячей воды 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штук   </w:t>
            </w:r>
          </w:p>
        </w:tc>
        <w:tc>
          <w:tcPr>
            <w:tcW w:w="1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11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22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33   </w:t>
            </w:r>
          </w:p>
        </w:tc>
      </w:tr>
      <w:tr w:rsidR="00B63FE3">
        <w:trPr>
          <w:trHeight w:val="16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 </w:t>
            </w:r>
          </w:p>
        </w:tc>
        <w:tc>
          <w:tcPr>
            <w:tcW w:w="21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Монтаж     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коллективных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узлов учета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холодной воды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(счетчиков   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холодной воды)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муниципальных 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учреждениях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20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Количество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муниципальных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учреждений  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оборудованных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коллективными  </w:t>
            </w:r>
            <w:proofErr w:type="gramEnd"/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узлами учета   </w:t>
            </w:r>
          </w:p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холодной воды  </w:t>
            </w:r>
          </w:p>
        </w:tc>
        <w:tc>
          <w:tcPr>
            <w:tcW w:w="13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штук   </w:t>
            </w:r>
          </w:p>
        </w:tc>
        <w:tc>
          <w:tcPr>
            <w:tcW w:w="1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67 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76   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3FE3" w:rsidRDefault="00B63FE3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76   </w:t>
            </w:r>
          </w:p>
        </w:tc>
      </w:tr>
    </w:tbl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63FE3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жилищно-коммунального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хозяйства и транспорта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Бузулука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Оренбургской области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Д.В.СЕДОВ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"Энергосбережение и повышение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энергетической эффективности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Бузулука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2014 - 2015 годы"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799"/>
      <w:bookmarkEnd w:id="2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характеристика основных мероприятий Программы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┬───────────────┬─────────────┬────────────────────────────────────────────┬─────────────────┬──────────┐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N │  Мероприятие  │    Коды     │      Объем финансирования, тыс. руб.       │   Исполнители   │Ожидаемый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proofErr w:type="gramStart"/>
      <w:r>
        <w:rPr>
          <w:rFonts w:ascii="Courier New" w:hAnsi="Courier New" w:cs="Courier New"/>
          <w:sz w:val="20"/>
          <w:szCs w:val="20"/>
        </w:rPr>
        <w:t>п</w:t>
      </w:r>
      <w:proofErr w:type="gramEnd"/>
      <w:r>
        <w:rPr>
          <w:rFonts w:ascii="Courier New" w:hAnsi="Courier New" w:cs="Courier New"/>
          <w:sz w:val="20"/>
          <w:szCs w:val="20"/>
        </w:rPr>
        <w:t>/п│               │  бюджетной  ├──────────────┬─────────────────────────────┤                 │результат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│</w:t>
      </w:r>
      <w:hyperlink r:id="rId27" w:history="1">
        <w:r>
          <w:rPr>
            <w:rFonts w:ascii="Courier New" w:hAnsi="Courier New" w:cs="Courier New"/>
            <w:color w:val="0000FF"/>
            <w:sz w:val="20"/>
            <w:szCs w:val="20"/>
          </w:rPr>
          <w:t>классификации</w:t>
        </w:r>
        <w:proofErr w:type="gramStart"/>
      </w:hyperlink>
      <w:r>
        <w:rPr>
          <w:rFonts w:ascii="Courier New" w:hAnsi="Courier New" w:cs="Courier New"/>
          <w:sz w:val="20"/>
          <w:szCs w:val="20"/>
        </w:rPr>
        <w:t>│   В</w:t>
      </w:r>
      <w:proofErr w:type="gramEnd"/>
      <w:r>
        <w:rPr>
          <w:rFonts w:ascii="Courier New" w:hAnsi="Courier New" w:cs="Courier New"/>
          <w:sz w:val="20"/>
          <w:szCs w:val="20"/>
        </w:rPr>
        <w:t>сего за   │                      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│             │ 2014 - 2015  ├──────────────┬──────────────┤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│             │              │     2014     │     2015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│             ├──────┬───────┼──────┬───────┼──────┬───────┤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               │             │  МБ  │  ИС   │  МБ  │  ИС   │  МБ  │  ИС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┼─────────────┼──────┼───────┼──────┼───────┼──────┼───────┼─────────────────┼──────────┤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1 │Монтаж         │             │      │10000,0│      │5000,0 │      │5000,0 │Ресурсоснабжающие│Выполнение│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</w:t>
      </w:r>
      <w:proofErr w:type="gramStart"/>
      <w:r>
        <w:rPr>
          <w:rFonts w:ascii="Courier New" w:hAnsi="Courier New" w:cs="Courier New"/>
          <w:sz w:val="20"/>
          <w:szCs w:val="20"/>
        </w:rPr>
        <w:t>коллективных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 │      │       │      │       │      │       │организации </w:t>
      </w:r>
      <w:hyperlink w:anchor="Par869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  <w:hyperlink r:id="rId28" w:history="1">
        <w:r>
          <w:rPr>
            <w:rFonts w:ascii="Courier New" w:hAnsi="Courier New" w:cs="Courier New"/>
            <w:color w:val="0000FF"/>
            <w:sz w:val="20"/>
            <w:szCs w:val="20"/>
          </w:rPr>
          <w:t>N 261-ФЗ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│приборов учета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│тепловой       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│   │энергии и  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│теплоносителя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>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│многоквартирных│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│жилых </w:t>
      </w:r>
      <w:proofErr w:type="gramStart"/>
      <w:r>
        <w:rPr>
          <w:rFonts w:ascii="Courier New" w:hAnsi="Courier New" w:cs="Courier New"/>
          <w:sz w:val="20"/>
          <w:szCs w:val="20"/>
        </w:rPr>
        <w:t>домах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┼─────────────┼──────┼───────┼──────┼───────┼──────┼───────┼─────────────────┼──────────┤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2 │Монтаж         │             │      │29800,0│      │14900,0│      │14900,0│Ресурсоснабжающие│Выполнение│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</w:t>
      </w:r>
      <w:proofErr w:type="gramStart"/>
      <w:r>
        <w:rPr>
          <w:rFonts w:ascii="Courier New" w:hAnsi="Courier New" w:cs="Courier New"/>
          <w:sz w:val="20"/>
          <w:szCs w:val="20"/>
        </w:rPr>
        <w:t>коллективных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 │      │       │      │       │      │       │организации </w:t>
      </w:r>
      <w:hyperlink w:anchor="Par869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  <w:hyperlink r:id="rId29" w:history="1">
        <w:r>
          <w:rPr>
            <w:rFonts w:ascii="Courier New" w:hAnsi="Courier New" w:cs="Courier New"/>
            <w:color w:val="0000FF"/>
            <w:sz w:val="20"/>
            <w:szCs w:val="20"/>
          </w:rPr>
          <w:t>N 261-ФЗ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│узлов учета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│горячей воды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│(счетчиков     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│горячей воды)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>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│многоквартирных│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│жилых </w:t>
      </w:r>
      <w:proofErr w:type="gramStart"/>
      <w:r>
        <w:rPr>
          <w:rFonts w:ascii="Courier New" w:hAnsi="Courier New" w:cs="Courier New"/>
          <w:sz w:val="20"/>
          <w:szCs w:val="20"/>
        </w:rPr>
        <w:t>домах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┼─────────────┼──────┼───────┼──────┼───────┼──────┼───────┼─────────────────┼──────────┤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3 │Монтаж         │             │      │12920,0│      │6480,0 │      │6440,0 │Ресурсоснабжающие│Выполнение│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</w:t>
      </w:r>
      <w:proofErr w:type="gramStart"/>
      <w:r>
        <w:rPr>
          <w:rFonts w:ascii="Courier New" w:hAnsi="Courier New" w:cs="Courier New"/>
          <w:sz w:val="20"/>
          <w:szCs w:val="20"/>
        </w:rPr>
        <w:t>коллективных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│             │      │       │      │       │      │       │организации </w:t>
      </w:r>
      <w:hyperlink w:anchor="Par869" w:history="1">
        <w:r>
          <w:rPr>
            <w:rFonts w:ascii="Courier New" w:hAnsi="Courier New" w:cs="Courier New"/>
            <w:color w:val="0000FF"/>
            <w:sz w:val="20"/>
            <w:szCs w:val="20"/>
          </w:rPr>
          <w:t>&lt;*&gt;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  <w:hyperlink r:id="rId30" w:history="1">
        <w:r>
          <w:rPr>
            <w:rFonts w:ascii="Courier New" w:hAnsi="Courier New" w:cs="Courier New"/>
            <w:color w:val="0000FF"/>
            <w:sz w:val="20"/>
            <w:szCs w:val="20"/>
          </w:rPr>
          <w:t>N 261-ФЗ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│узлов учета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│холодной воды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│(счетчиков     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│холодной воды)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│в              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│многоквартирных│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│жилых </w:t>
      </w:r>
      <w:proofErr w:type="gramStart"/>
      <w:r>
        <w:rPr>
          <w:rFonts w:ascii="Courier New" w:hAnsi="Courier New" w:cs="Courier New"/>
          <w:sz w:val="20"/>
          <w:szCs w:val="20"/>
        </w:rPr>
        <w:t>домах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┼─────────────┼──────┼───────┼──────┼───────┼──────┼───────┼─────────────────┼──────────┤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4 │Монтаж         │ 03807003010 │3663,3│       │2563,3│       │1100,0│       │Субъекты         │Выполнение│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│коллективных   │   000612    │      │       │      │       │      │       │бюджетного       │</w:t>
      </w:r>
      <w:hyperlink r:id="rId31" w:history="1">
        <w:r>
          <w:rPr>
            <w:rFonts w:ascii="Courier New" w:hAnsi="Courier New" w:cs="Courier New"/>
            <w:color w:val="0000FF"/>
            <w:sz w:val="20"/>
            <w:szCs w:val="20"/>
          </w:rPr>
          <w:t>N 261-ФЗ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│приборов учета │             │      │       │      │       │      │       │планирования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</w:t>
      </w:r>
      <w:proofErr w:type="gramStart"/>
      <w:r>
        <w:rPr>
          <w:rFonts w:ascii="Courier New" w:hAnsi="Courier New" w:cs="Courier New"/>
          <w:sz w:val="20"/>
          <w:szCs w:val="20"/>
        </w:rPr>
        <w:t>тепловой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│             │      │       │      │       │      │       │города Бузулука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│энергии и  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│теплоносителя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>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│муниципальных  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┼───────────────┼─────────────┼──────┼───────┼──────┼───────┼──────┼───────┼─────────────────┼──────────┤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5 │Монтаж         │ 03807003010 │1680,0│       │800,0 │       │880,0 │       │Субъекты         │Выполнение│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│коллективных   │   000612    │      │       │      │       │      │       │бюджетного       │</w:t>
      </w:r>
      <w:hyperlink r:id="rId32" w:history="1">
        <w:r>
          <w:rPr>
            <w:rFonts w:ascii="Courier New" w:hAnsi="Courier New" w:cs="Courier New"/>
            <w:color w:val="0000FF"/>
            <w:sz w:val="20"/>
            <w:szCs w:val="20"/>
          </w:rPr>
          <w:t>N 261-ФЗ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│узлов учета    │ 03908003010 │ 80,0 │       │ 80,0 │       │      │       │планирования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│горячей воды   │   000612    │      │       │      │       │      │       │города Бузулука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│(счетчиков     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│горячей воды)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  <w:r>
        <w:rPr>
          <w:rFonts w:ascii="Courier New" w:hAnsi="Courier New" w:cs="Courier New"/>
          <w:sz w:val="20"/>
          <w:szCs w:val="20"/>
        </w:rPr>
        <w:t>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│муниципальных  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├───┼───────────────┼─────────────┼──────┼───────┼──────┼───────┼──────┼───────┼─────────────────┼──────────┤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6 │Монтаж         │ 03807003010 │240,0 │       │240,0 │       │      │       │Субъекты         │Выполнение│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│коллективных   │   000612    │      │       │      │       │      │       │бюджетного       │</w:t>
      </w:r>
      <w:hyperlink r:id="rId33" w:history="1">
        <w:r>
          <w:rPr>
            <w:rFonts w:ascii="Courier New" w:hAnsi="Courier New" w:cs="Courier New"/>
            <w:color w:val="0000FF"/>
            <w:sz w:val="20"/>
            <w:szCs w:val="20"/>
          </w:rPr>
          <w:t>N 261-ФЗ</w:t>
        </w:r>
      </w:hyperlink>
      <w:r>
        <w:rPr>
          <w:rFonts w:ascii="Courier New" w:hAnsi="Courier New" w:cs="Courier New"/>
          <w:sz w:val="20"/>
          <w:szCs w:val="20"/>
        </w:rPr>
        <w:t xml:space="preserve">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│узлов учета    │ 03908003010 │ 30,0 │       │ 30,0 │       │      │       │планирования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│холодной воды  │   000612    │      │       │      │       │      │       │города Бузулука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│(счетчиков     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│холодной воды)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│в муниципальных│             │      │       │      │       │      │       │                 │          │</w:t>
      </w:r>
      <w:proofErr w:type="gramEnd"/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│</w:t>
      </w:r>
      <w:proofErr w:type="gramStart"/>
      <w:r>
        <w:rPr>
          <w:rFonts w:ascii="Courier New" w:hAnsi="Courier New" w:cs="Courier New"/>
          <w:sz w:val="20"/>
          <w:szCs w:val="20"/>
        </w:rPr>
        <w:t>учреждениях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│             │      │       │      │       │      │       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├───┴───────────────┼─────────────┼──────┼───────┼──────┼───────┼──────┼───────┼─────────────────┼──────────┤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Итого, тыс. руб.  │             │5693,3│52720,0│3713,3│26380,0│1980,0│26340,0│                 │          │</w:t>
      </w:r>
    </w:p>
    <w:p w:rsidR="00B63FE3" w:rsidRDefault="00B63FE3" w:rsidP="00B63FE3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┴─────────────┴──────┴───────┴──────┴───────┴──────┴───────┴─────────────────┴──────────┘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869"/>
      <w:bookmarkEnd w:id="3"/>
      <w:r>
        <w:rPr>
          <w:rFonts w:ascii="Times New Roman" w:hAnsi="Times New Roman" w:cs="Times New Roman"/>
          <w:sz w:val="24"/>
          <w:szCs w:val="24"/>
        </w:rPr>
        <w:t>&lt;*&gt; Привлекаются к реализации мероприятий Программы по согласованию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жилищно-коммунального</w:t>
      </w:r>
      <w:proofErr w:type="gramEnd"/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хозяйства и транспорта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Бузулука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Оренбургской области</w:t>
      </w:r>
    </w:p>
    <w:p w:rsidR="00B63FE3" w:rsidRDefault="00B63FE3" w:rsidP="00B63F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Д.В.СЕДОВ</w:t>
      </w:r>
    </w:p>
    <w:p w:rsidR="00000000" w:rsidRDefault="00B63FE3"/>
    <w:sectPr w:rsidR="00000000" w:rsidSect="00472A00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B63FE3"/>
    <w:rsid w:val="00B6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F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63FE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63F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63F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4BADA1A7EAEF27134F820AF00DFA3635E49123D3B20CCAEA1D5B87649C327FAF53BFF2C2AAF3DE501DFEm667D" TargetMode="External"/><Relationship Id="rId13" Type="http://schemas.openxmlformats.org/officeDocument/2006/relationships/hyperlink" Target="consultantplus://offline/ref=544BADA1A7EAEF27134F9C07E661A73234E9C62AD3BF0F9AB24200DA33m965D" TargetMode="External"/><Relationship Id="rId18" Type="http://schemas.openxmlformats.org/officeDocument/2006/relationships/hyperlink" Target="consultantplus://offline/ref=544BADA1A7EAEF27134F9C07E661A73234E9C62AD3BF0F9AB24200DA33953828E81CE6B086A7F2D9m560D" TargetMode="External"/><Relationship Id="rId26" Type="http://schemas.openxmlformats.org/officeDocument/2006/relationships/hyperlink" Target="consultantplus://offline/ref=544BADA1A7EAEF27134F9C07E661A73234E9C62AD1BA0F9AB24200DA33m965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44BADA1A7EAEF27134F9C07E661A73234EDCE2AD1BA0F9AB24200DA33m965D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544BADA1A7EAEF27134F820AF00DFA3635E49123D3B20CCAEA1D5B87649C327FAF53BFF2C2AAF3DE501CF6m66BD" TargetMode="External"/><Relationship Id="rId12" Type="http://schemas.openxmlformats.org/officeDocument/2006/relationships/hyperlink" Target="consultantplus://offline/ref=544BADA1A7EAEF27134F9C07E661A73234EDCE2AD1BA0F9AB24200DA33m965D" TargetMode="External"/><Relationship Id="rId17" Type="http://schemas.openxmlformats.org/officeDocument/2006/relationships/hyperlink" Target="consultantplus://offline/ref=544BADA1A7EAEF27134F9C07E661A73234E9C92FD3B80F9AB24200DA33953828E81CE6B086A6F3D6m567D" TargetMode="External"/><Relationship Id="rId25" Type="http://schemas.openxmlformats.org/officeDocument/2006/relationships/hyperlink" Target="consultantplus://offline/ref=544BADA1A7EAEF27134F9C07E661A73234EACF2ED6BD0F9AB24200DA33953828E81CE6B086A7F3DBm562D" TargetMode="External"/><Relationship Id="rId33" Type="http://schemas.openxmlformats.org/officeDocument/2006/relationships/hyperlink" Target="consultantplus://offline/ref=544BADA1A7EAEF27134F9C07E661A73234E9C62AD3BF0F9AB24200DA33m965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44BADA1A7EAEF27134F9C07E661A73234E9CC2CDFBC0F9AB24200DA33m965D" TargetMode="External"/><Relationship Id="rId20" Type="http://schemas.openxmlformats.org/officeDocument/2006/relationships/hyperlink" Target="consultantplus://offline/ref=544BADA1A7EAEF27134F9C07E661A73234EACF2ED6BD0F9AB24200DA33953828E81CE6B086A7F2DEm565D" TargetMode="External"/><Relationship Id="rId29" Type="http://schemas.openxmlformats.org/officeDocument/2006/relationships/hyperlink" Target="consultantplus://offline/ref=544BADA1A7EAEF27134F9C07E661A73234E9C62AD3BF0F9AB24200DA33m965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44BADA1A7EAEF27134F820AF00DFA3635E49123D3B20CCAEA1D5B87649C327FAF53BFF2C2AAF3DE501BFCm667D" TargetMode="External"/><Relationship Id="rId11" Type="http://schemas.openxmlformats.org/officeDocument/2006/relationships/hyperlink" Target="consultantplus://offline/ref=544BADA1A7EAEF27134F9C07E661A73234EACF2ED6BD0F9AB24200DA33953828E81CE6B086A7F2DEm565D" TargetMode="External"/><Relationship Id="rId24" Type="http://schemas.openxmlformats.org/officeDocument/2006/relationships/hyperlink" Target="consultantplus://offline/ref=544BADA1A7EAEF27134F820AF00DFA3635E49123D3B80CC4EE1D5B87649C327FAF53BFF2C2AAF3DE5018FFm662D" TargetMode="External"/><Relationship Id="rId32" Type="http://schemas.openxmlformats.org/officeDocument/2006/relationships/hyperlink" Target="consultantplus://offline/ref=544BADA1A7EAEF27134F9C07E661A73234E9C62AD3BF0F9AB24200DA33m965D" TargetMode="External"/><Relationship Id="rId5" Type="http://schemas.openxmlformats.org/officeDocument/2006/relationships/hyperlink" Target="consultantplus://offline/ref=544BADA1A7EAEF27134F9C07E661A73234E9C62AD3BF0F9AB24200DA33953828E81CE6B086A7F2D9m560D" TargetMode="External"/><Relationship Id="rId15" Type="http://schemas.openxmlformats.org/officeDocument/2006/relationships/hyperlink" Target="consultantplus://offline/ref=544BADA1A7EAEF27134F9C07E661A73234E9C62AD3BF0F9AB24200DA33m965D" TargetMode="External"/><Relationship Id="rId23" Type="http://schemas.openxmlformats.org/officeDocument/2006/relationships/hyperlink" Target="consultantplus://offline/ref=544BADA1A7EAEF27134F820AF00DFA3635E49123D3B806CCED1D5B87649C327FAF53BFF2C2AAF3DE5018FFm662D" TargetMode="External"/><Relationship Id="rId28" Type="http://schemas.openxmlformats.org/officeDocument/2006/relationships/hyperlink" Target="consultantplus://offline/ref=544BADA1A7EAEF27134F9C07E661A73234E9C62AD3BF0F9AB24200DA33m965D" TargetMode="External"/><Relationship Id="rId10" Type="http://schemas.openxmlformats.org/officeDocument/2006/relationships/hyperlink" Target="consultantplus://offline/ref=544BADA1A7EAEF27134F9C07E661A73234E9C62AD3BF0F9AB24200DA33953828E81CE6B086A7F2D9m560D" TargetMode="External"/><Relationship Id="rId19" Type="http://schemas.openxmlformats.org/officeDocument/2006/relationships/hyperlink" Target="consultantplus://offline/ref=544BADA1A7EAEF27134F9C07E661A73234E9C62AD3BF0F9AB24200DA33953828E81CE6B086A7F2D9m560D" TargetMode="External"/><Relationship Id="rId31" Type="http://schemas.openxmlformats.org/officeDocument/2006/relationships/hyperlink" Target="consultantplus://offline/ref=544BADA1A7EAEF27134F9C07E661A73234E9C62AD3BF0F9AB24200DA33m965D" TargetMode="External"/><Relationship Id="rId4" Type="http://schemas.openxmlformats.org/officeDocument/2006/relationships/hyperlink" Target="consultantplus://offline/ref=544BADA1A7EAEF27134F9C07E661A73234E9C92FD3B80F9AB24200DA33953828E81CE6B086A6F3D6m567D" TargetMode="External"/><Relationship Id="rId9" Type="http://schemas.openxmlformats.org/officeDocument/2006/relationships/hyperlink" Target="consultantplus://offline/ref=544BADA1A7EAEF27134F9C07E661A73234E9C92FD3B80F9AB24200DA33953828E81CE6B086A6F3D6m567D" TargetMode="External"/><Relationship Id="rId14" Type="http://schemas.openxmlformats.org/officeDocument/2006/relationships/hyperlink" Target="consultantplus://offline/ref=544BADA1A7EAEF27134F9C07E661A73234E9C62AD3BF0F9AB24200DA33m965D" TargetMode="External"/><Relationship Id="rId22" Type="http://schemas.openxmlformats.org/officeDocument/2006/relationships/hyperlink" Target="consultantplus://offline/ref=544BADA1A7EAEF27134F820AF00DFA3635E49123D3B20CCAEA1D5B87649C327FAF53BFF2C2AAF3DE5019FEm664D" TargetMode="External"/><Relationship Id="rId27" Type="http://schemas.openxmlformats.org/officeDocument/2006/relationships/hyperlink" Target="consultantplus://offline/ref=544BADA1A7EAEF27134F9C07E661A73234EACE2ED3BB0F9AB24200DA33953828E81CE6B086A7F2DFm563D" TargetMode="External"/><Relationship Id="rId30" Type="http://schemas.openxmlformats.org/officeDocument/2006/relationships/hyperlink" Target="consultantplus://offline/ref=544BADA1A7EAEF27134F9C07E661A73234E9C62AD3BF0F9AB24200DA33m965D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10401</Words>
  <Characters>59290</Characters>
  <Application>Microsoft Office Word</Application>
  <DocSecurity>0</DocSecurity>
  <Lines>494</Lines>
  <Paragraphs>139</Paragraphs>
  <ScaleCrop>false</ScaleCrop>
  <Company>Администрация города Бузулука</Company>
  <LinksUpToDate>false</LinksUpToDate>
  <CharactersWithSpaces>69552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Пименов</dc:creator>
  <cp:keywords/>
  <dc:description/>
  <cp:lastModifiedBy>Пименов</cp:lastModifiedBy>
  <cp:revision>2</cp:revision>
  <dcterms:created xsi:type="dcterms:W3CDTF">2014-11-05T03:58:00Z</dcterms:created>
  <dcterms:modified xsi:type="dcterms:W3CDTF">2014-11-05T03:59:00Z</dcterms:modified>
</cp:coreProperties>
</file>