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E94" w:rsidRDefault="002C5E94" w:rsidP="002C5E94">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ПРАВИТЕЛЬСТВО РОССИЙСКОЙ ФЕДЕРАЦИИ</w:t>
      </w:r>
    </w:p>
    <w:p w:rsidR="002C5E94" w:rsidRDefault="002C5E94" w:rsidP="002C5E94">
      <w:pPr>
        <w:autoSpaceDE w:val="0"/>
        <w:autoSpaceDN w:val="0"/>
        <w:adjustRightInd w:val="0"/>
        <w:spacing w:after="0" w:line="240" w:lineRule="auto"/>
        <w:jc w:val="center"/>
        <w:rPr>
          <w:rFonts w:ascii="Calibri" w:hAnsi="Calibri" w:cs="Calibri"/>
          <w:b/>
          <w:bCs/>
        </w:rPr>
      </w:pP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от 16 мая 2014 г. N 452</w:t>
      </w:r>
    </w:p>
    <w:p w:rsidR="002C5E94" w:rsidRDefault="002C5E94" w:rsidP="002C5E94">
      <w:pPr>
        <w:autoSpaceDE w:val="0"/>
        <w:autoSpaceDN w:val="0"/>
        <w:adjustRightInd w:val="0"/>
        <w:spacing w:after="0" w:line="240" w:lineRule="auto"/>
        <w:jc w:val="center"/>
        <w:rPr>
          <w:rFonts w:ascii="Calibri" w:hAnsi="Calibri" w:cs="Calibri"/>
          <w:b/>
          <w:bCs/>
        </w:rPr>
      </w:pP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ОБ УТВЕРЖДЕНИИ ПРАВИЛ</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ОПРЕДЕЛЕНИЯ ПЛАНОВЫХ И РАСЧЕТА ФАКТИЧЕСКИХ ЗНАЧЕНИЙ</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ПОКАЗАТЕЛЕЙ НАДЕЖНОСТИ И ЭНЕРГЕТИЧЕСКОЙ ЭФФЕКТИВНОСТИ</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ОБЪЕКТОВ ТЕПЛОСНАБЖЕНИЯ, А ТАКЖЕ ОПРЕДЕЛЕНИЯ ДОСТИЖЕНИЯ</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ОРГАНИЗАЦИЕЙ, ОСУЩЕСТВЛЯЮЩЕЙ РЕГУЛИРУЕМЫЕ ВИДЫ ДЕЯТЕЛЬНОСТИ</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В СФЕРЕ ТЕПЛОСНАБЖЕНИЯ, УКАЗАННЫХ ПЛАНОВЫХ ЗНАЧЕНИЙ</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И О ВНЕСЕНИИ ИЗМЕНЕНИЯ В ПОСТАНОВЛЕНИЕ ПРАВИТЕЛЬСТВА</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ОТ 15 МАЯ 2010 Г. N 340</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Федеральным </w:t>
      </w:r>
      <w:hyperlink r:id="rId4" w:history="1">
        <w:r>
          <w:rPr>
            <w:rFonts w:ascii="Calibri" w:hAnsi="Calibri" w:cs="Calibri"/>
            <w:color w:val="0000FF"/>
          </w:rPr>
          <w:t>законом</w:t>
        </w:r>
      </w:hyperlink>
      <w:r>
        <w:rPr>
          <w:rFonts w:ascii="Calibri" w:hAnsi="Calibri" w:cs="Calibri"/>
        </w:rPr>
        <w:t xml:space="preserve"> "О теплоснабжении" Правительство Российской Федерации постановляет:</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прилагаемые </w:t>
      </w:r>
      <w:hyperlink w:anchor="Par32" w:history="1">
        <w:r>
          <w:rPr>
            <w:rFonts w:ascii="Calibri" w:hAnsi="Calibri" w:cs="Calibri"/>
            <w:color w:val="0000FF"/>
          </w:rPr>
          <w:t>Правила</w:t>
        </w:r>
      </w:hyperlink>
      <w:r>
        <w:rPr>
          <w:rFonts w:ascii="Calibri" w:hAnsi="Calibri" w:cs="Calibri"/>
        </w:rPr>
        <w:t xml:space="preserve">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5" w:history="1">
        <w:r>
          <w:rPr>
            <w:rFonts w:ascii="Calibri" w:hAnsi="Calibri" w:cs="Calibri"/>
            <w:color w:val="0000FF"/>
          </w:rPr>
          <w:t>Пункт 1</w:t>
        </w:r>
      </w:hyperlink>
      <w:r>
        <w:rPr>
          <w:rFonts w:ascii="Calibri" w:hAnsi="Calibri" w:cs="Calibri"/>
        </w:rPr>
        <w:t xml:space="preserve"> Правил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утвержденных постановлением Правительства Российской Федерации от 15 мая 2010 г. N 340 "О порядке установления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(Собрание законодательства Российской Федерации, 2010, N 21, ст. 2606), дополнить абзацем следующего содержания: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"Действие настоящих Правил не распространяется на теплоснабжающие и теплосетевые организации в части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подлежащих включению в инвестиционные программы и концессионные соглашения в соответствии с Федеральным </w:t>
      </w:r>
      <w:hyperlink r:id="rId6" w:history="1">
        <w:r>
          <w:rPr>
            <w:rFonts w:ascii="Calibri" w:hAnsi="Calibri" w:cs="Calibri"/>
            <w:color w:val="0000FF"/>
          </w:rPr>
          <w:t>законом</w:t>
        </w:r>
      </w:hyperlink>
      <w:r>
        <w:rPr>
          <w:rFonts w:ascii="Calibri" w:hAnsi="Calibri" w:cs="Calibri"/>
        </w:rPr>
        <w:t xml:space="preserve"> "О теплоснабжении".".</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Д.МЕДВЕДЕВ</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right"/>
        <w:outlineLvl w:val="0"/>
        <w:rPr>
          <w:rFonts w:ascii="Calibri" w:hAnsi="Calibri" w:cs="Calibri"/>
        </w:rPr>
      </w:pPr>
      <w:r>
        <w:rPr>
          <w:rFonts w:ascii="Calibri" w:hAnsi="Calibri" w:cs="Calibri"/>
        </w:rPr>
        <w:t>Утверждены</w:t>
      </w: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2C5E94" w:rsidRDefault="002C5E94" w:rsidP="002C5E94">
      <w:pPr>
        <w:autoSpaceDE w:val="0"/>
        <w:autoSpaceDN w:val="0"/>
        <w:adjustRightInd w:val="0"/>
        <w:spacing w:after="0" w:line="240" w:lineRule="auto"/>
        <w:jc w:val="right"/>
        <w:rPr>
          <w:rFonts w:ascii="Calibri" w:hAnsi="Calibri" w:cs="Calibri"/>
        </w:rPr>
      </w:pPr>
      <w:r>
        <w:rPr>
          <w:rFonts w:ascii="Calibri" w:hAnsi="Calibri" w:cs="Calibri"/>
        </w:rPr>
        <w:t>от 16 мая 2014 г. N 452</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b/>
          <w:bCs/>
        </w:rPr>
      </w:pPr>
      <w:bookmarkStart w:id="0" w:name="Par32"/>
      <w:bookmarkEnd w:id="0"/>
      <w:r>
        <w:rPr>
          <w:rFonts w:ascii="Calibri" w:hAnsi="Calibri" w:cs="Calibri"/>
          <w:b/>
          <w:bCs/>
        </w:rPr>
        <w:t>ПРАВИЛА</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ОПРЕДЕЛЕНИЯ ПЛАНОВЫХ И РАСЧЕТА ФАКТИЧЕСКИХ ЗНАЧЕНИЙ</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ПОКАЗАТЕЛЕЙ НАДЕЖНОСТИ И ЭНЕРГЕТИЧЕСКОЙ ЭФФЕКТИВНОСТИ</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ОБЪЕКТОВ ТЕПЛОСНАБЖЕНИЯ, А ТАКЖЕ ОПРЕДЕЛЕНИЯ ДОСТИЖЕНИЯ</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ОРГАНИЗАЦИЕЙ, ОСУЩЕСТВЛЯЮЩЕЙ РЕГУЛИРУЕМЫЕ ВИДЫ ДЕЯТЕЛЬНОСТИ</w:t>
      </w:r>
    </w:p>
    <w:p w:rsidR="002C5E94" w:rsidRDefault="002C5E94" w:rsidP="002C5E94">
      <w:pPr>
        <w:autoSpaceDE w:val="0"/>
        <w:autoSpaceDN w:val="0"/>
        <w:adjustRightInd w:val="0"/>
        <w:spacing w:after="0" w:line="240" w:lineRule="auto"/>
        <w:jc w:val="center"/>
        <w:rPr>
          <w:rFonts w:ascii="Calibri" w:hAnsi="Calibri" w:cs="Calibri"/>
          <w:b/>
          <w:bCs/>
        </w:rPr>
      </w:pPr>
      <w:r>
        <w:rPr>
          <w:rFonts w:ascii="Calibri" w:hAnsi="Calibri" w:cs="Calibri"/>
          <w:b/>
          <w:bCs/>
        </w:rPr>
        <w:t>В СФЕРЕ ТЕПЛОСНАБЖЕНИЯ, УКАЗАННЫХ ПЛАНОВЫХ ЗНАЧЕНИЙ</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 Настоящие Правила устанавливают порядок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(далее - теплоснабжающая организация), указанных плановых значений.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Понятия, используемые в настоящих Правилах, соответствуют определениям, данным в Федеральном </w:t>
      </w:r>
      <w:hyperlink r:id="rId7" w:history="1">
        <w:r>
          <w:rPr>
            <w:rFonts w:ascii="Calibri" w:hAnsi="Calibri" w:cs="Calibri"/>
            <w:color w:val="0000FF"/>
          </w:rPr>
          <w:t>законе</w:t>
        </w:r>
      </w:hyperlink>
      <w:r>
        <w:rPr>
          <w:rFonts w:ascii="Calibri" w:hAnsi="Calibri" w:cs="Calibri"/>
        </w:rPr>
        <w:t xml:space="preserve"> "О теплоснабжении".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 Плановые значения показателей надежности и энергетической эффективности объектов теплоснабжения в обязательном порядке учитываются в следующих случаях:</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а) при определении степени исполнения обязательств концессионера по созданию и (или) реконструкции объекта концессионного соглашения;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б) при утверждении инвестиционных программ теплоснабжающих организаций;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при расчете (корректировке) тарифов теплоснабжающих организаций.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4. Показатели надежности и энергетической эффективности объектов теплоснабжения устанавливаются на срок действия инвестиционной программы, концессионного соглашения и (или) на срок действия долгосрочных тарифов в случае, если для теплоснабжающей организации устанавливаются долгосрочные тарифы. Расчет плановых и фактических значений показателей надежности и энергетической эффективности объектов теплоснабжения осуществляется на каждый год в течение срока действия инвестиционных программ, концессионных соглашений, тарифов.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целях контроля за результатами реализации инвестиционной программы и в целях регулирования тарифов уполномоченный орган исполнительной власти субъекта Российской Федерации или орган местного самоуправления поселения (городского округа) в случае, если законом субъекта Российской Федерации ему переданы полномочия по утверждению плановых значений показателей надежности и энергетической эффективности объектов теплоснабжения (далее - орган регулирования), устанавливает плановые значения показателей надежности и энергетической эффективности в отношении объектов теплоснабжения, создание и (или) реконструкция которых предусмотрены инвестиционной программой, на период, следующий за последним годом ее реализации.</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1" w:name="Par49"/>
      <w:bookmarkEnd w:id="1"/>
      <w:r>
        <w:rPr>
          <w:rFonts w:ascii="Calibri" w:hAnsi="Calibri" w:cs="Calibri"/>
        </w:rPr>
        <w:t>5. К показателям надежности объектов теплоснабжения относятся: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а) количество прекращений подачи тепловой энергии, теплоносителя в результате технологических нарушений на тепловых сетях на 1 км тепловых сетей;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б) количество прекращений подачи тепловой энергии, теплоносителя в результате технологических нарушений на источниках тепловой энергии на 1 Гкал/час установленной мощности.</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2" w:name="Par52"/>
      <w:bookmarkEnd w:id="2"/>
      <w:r>
        <w:rPr>
          <w:rFonts w:ascii="Calibri" w:hAnsi="Calibri" w:cs="Calibri"/>
        </w:rPr>
        <w:t>6. К показателям энергетической эффективности объектов теплоснабжения относятся: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а) удельный расход топлива на производство единицы тепловой энергии, отпускаемой с коллекторов источников тепловой энергии;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б) отношение величины технологических потерь тепловой энергии, теплоносителя к материальной характеристике тепловой сети;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величина технологических потерь при передаче тепловой энергии, теплоносителя по тепловым сетям.</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outlineLvl w:val="1"/>
        <w:rPr>
          <w:rFonts w:ascii="Calibri" w:hAnsi="Calibri" w:cs="Calibri"/>
        </w:rPr>
      </w:pPr>
      <w:r>
        <w:rPr>
          <w:rFonts w:ascii="Calibri" w:hAnsi="Calibri" w:cs="Calibri"/>
        </w:rPr>
        <w:t>II. Правила определения плановых значений</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показателей надежности и энергетической эффективности</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объектов теплоснабжения</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Плановые значения показателей надежности и энергетической эффективности объектов теплоснабжения определяются на срок реализации инвестиционной программы (с разбивкой по годам), увеличенный на 1 год, в случае если органами регулирования принято решение об </w:t>
      </w:r>
      <w:r>
        <w:rPr>
          <w:rFonts w:ascii="Calibri" w:hAnsi="Calibri" w:cs="Calibri"/>
        </w:rPr>
        <w:lastRenderedPageBreak/>
        <w:t>установлении плановых значений показателей надежности и энергетической эффективности на период, следующий за последним годом ее реализации.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Плановые значения показателей надежности объектов теплоснабжения, определяемые количеством прекращений подачи тепловой энергии, рассчитываются исходя из фактического показателя прекращений подачи тепловой энергии за год, предшествующий году реализации инвестиционной программы, и планового значения протяженности тепловых сетей (мощности источников тепловой энергии), вводимых в эксплуатацию, реконструируемых и модернизируемых в соответствии с инвестиционной программой теплоснабжающей организации, в соответствии с </w:t>
      </w:r>
      <w:hyperlink w:anchor="Par77" w:history="1">
        <w:r>
          <w:rPr>
            <w:rFonts w:ascii="Calibri" w:hAnsi="Calibri" w:cs="Calibri"/>
            <w:color w:val="0000FF"/>
          </w:rPr>
          <w:t>пунктами 15</w:t>
        </w:r>
      </w:hyperlink>
      <w:r>
        <w:rPr>
          <w:rFonts w:ascii="Calibri" w:hAnsi="Calibri" w:cs="Calibri"/>
        </w:rPr>
        <w:t xml:space="preserve"> и </w:t>
      </w:r>
      <w:hyperlink w:anchor="Par90" w:history="1">
        <w:r>
          <w:rPr>
            <w:rFonts w:ascii="Calibri" w:hAnsi="Calibri" w:cs="Calibri"/>
            <w:color w:val="0000FF"/>
          </w:rPr>
          <w:t>16</w:t>
        </w:r>
      </w:hyperlink>
      <w:r>
        <w:rPr>
          <w:rFonts w:ascii="Calibri" w:hAnsi="Calibri" w:cs="Calibri"/>
        </w:rPr>
        <w:t xml:space="preserve"> настоящих Правил.</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9. Плановые значения показателя прекращений подачи тепловой энергии, возникших в результате технологических нарушений в тепловых сетях и (или) на источниках тепловой энергии, определяются как в целом по теплоснабжающей организации, так и по участкам сети, с указанием протяженности каждого участка и наименования иных объектов, расположенных на тепловой сети, а также по источникам тепловой энергии с указанием мощности каждого источника.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На участке тепловой сети или на источнике тепловой энергии, вводимом в эксплуатацию в соответствии с инвестиционной программой, количество технологических нарушений принимается равным нулю.</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отношении тепловых сетей и (или) источников тепловой энергии, создание, реконструкция, модернизация которых не предусмотрены инвестиционной программой, устанавливается величина значения показателя надежности, определяемая фактическим значением соответствующего показателя на начало года, предшествующего году начала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Плановые значения показателей энергетической эффективности объектов теплоснабжения на долгосрочный период определяются с учетом целевых показателей энергосбережения и повышения энергетической эффективности, утвержденных уполномоченным федеральным органом исполнительной власти, достижение которых обеспечивается теплоснабжающей организацией при реализации программы энергосбережения и которые устанавливаются в порядке, предусмотренном законодательством Российской Федерации в сфере энергосбережения.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Подготовка первичной информации, используемой при расчете значений показателей надежности и энергетической эффективности, определенных в </w:t>
      </w:r>
      <w:hyperlink w:anchor="Par49" w:history="1">
        <w:r>
          <w:rPr>
            <w:rFonts w:ascii="Calibri" w:hAnsi="Calibri" w:cs="Calibri"/>
            <w:color w:val="0000FF"/>
          </w:rPr>
          <w:t>пунктах 5</w:t>
        </w:r>
      </w:hyperlink>
      <w:r>
        <w:rPr>
          <w:rFonts w:ascii="Calibri" w:hAnsi="Calibri" w:cs="Calibri"/>
        </w:rPr>
        <w:t xml:space="preserve"> и </w:t>
      </w:r>
      <w:hyperlink w:anchor="Par52" w:history="1">
        <w:r>
          <w:rPr>
            <w:rFonts w:ascii="Calibri" w:hAnsi="Calibri" w:cs="Calibri"/>
            <w:color w:val="0000FF"/>
          </w:rPr>
          <w:t>6</w:t>
        </w:r>
      </w:hyperlink>
      <w:r>
        <w:rPr>
          <w:rFonts w:ascii="Calibri" w:hAnsi="Calibri" w:cs="Calibri"/>
        </w:rPr>
        <w:t xml:space="preserve"> настоящих Правил, производится теплоснабжающей организацией на основании данных, содержащихся в журнале учета текущей информации о нарушениях подачи тепловой энергии, теплоносителя теплоснабжающей организации в отопительный и межотопительный периоды, который заполняется в строго хронологическом порядке с фиксацией каждого случая нарушения подачи тепловой энергии, теплоносителя теплоснабжающей организацией в течение соответствующего отопительного или межотопительного периода, а также в журнале учета текущей информации по расходу натурального топлива на производство тепловой энергии и потерь тепловой энергии на тепловых сетях теплоснабжающей организации.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11. С целью установления плановых значений показателей надежности и энергетической эффективности объектов теплоснабжения орган регулирования направляет запрос в теплоснабжающую организацию о предоставлении информации, необходимой для формирования и расчета указанных показателей, в том числе о фактических значениях этих показателей за последние 3 года.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Теплоснабжающая организация обязана направить запрашиваемую информацию в орган регулирования не позднее 15 календарных дней со дня получения запроса. В случае если плановые значения показателей надежности и энергетической эффективности объектов теплоснабжения определяются не в целях заключения концессионного соглашения, значения указанных показателей должны быть рассчитаны в соответствии с мероприятиями, включенными в инвестиционную программу.</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3" w:name="Par70"/>
      <w:bookmarkEnd w:id="3"/>
      <w:r>
        <w:rPr>
          <w:rFonts w:ascii="Calibri" w:hAnsi="Calibri" w:cs="Calibri"/>
        </w:rPr>
        <w:t>12. При расчете плановых значений показателей надежности и энергетической эффективности объектов теплоснабжения орган регулирования использует следующую информацию:</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а) отчетные данные, представляемые теплоснабжающей организацией уполномоченному органу (график реализации мероприятий инвестиционной программы, финансовые отчеты о выполнении мероприятий инвестиционной программы, отчет о достижении плановых значений показателей надежности и энергетической эффективности);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информация, которая подлежит раскрытию теплоснабжающей организацией в соответствии с </w:t>
      </w:r>
      <w:hyperlink r:id="rId8"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данные, предоставляемые Федеральной службой по экологическому, технологическому и атомному надзору, Федеральной антимонопольной службой, Федеральной службой по надзору в сфере защиты прав потребителей и благополучия человека и их территориальными органами в соответствии с </w:t>
      </w:r>
      <w:hyperlink r:id="rId9" w:history="1">
        <w:r>
          <w:rPr>
            <w:rFonts w:ascii="Calibri" w:hAnsi="Calibri" w:cs="Calibri"/>
            <w:color w:val="0000FF"/>
          </w:rPr>
          <w:t>пунктом 15</w:t>
        </w:r>
      </w:hyperlink>
      <w:r>
        <w:rPr>
          <w:rFonts w:ascii="Calibri" w:hAnsi="Calibri" w:cs="Calibri"/>
        </w:rPr>
        <w:t xml:space="preserve"> Положения об определении применяемых при установлении долгосрочных тарифов показателей надежности и качества поставляемых товаров и оказываемых услуг, утвержденного постановлением Правительства Российской Федерации от 31 декабря 2009 г. N 1220 "Об определении применяемых при установлении долгосрочных тарифов показателей надежности и качества поставляемых товаров и оказываемых услуг", с учетом </w:t>
      </w:r>
      <w:hyperlink r:id="rId10" w:history="1">
        <w:r>
          <w:rPr>
            <w:rFonts w:ascii="Calibri" w:hAnsi="Calibri" w:cs="Calibri"/>
            <w:color w:val="0000FF"/>
          </w:rPr>
          <w:t>пункта 3</w:t>
        </w:r>
      </w:hyperlink>
      <w:r>
        <w:rPr>
          <w:rFonts w:ascii="Calibri" w:hAnsi="Calibri" w:cs="Calibri"/>
        </w:rPr>
        <w:t xml:space="preserve"> указанного Положения;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 фактические значения показателей деятельности теплоснабжающей организации за предыдущий период действия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13. Плановые значения показателей надежности и энергетической эффективности объектов теплоснабжения сравниваются органом регулирования с фактическими значениями указанных показателей (за предыдущий период действия инвестиционной программы), достигнутыми за истекший период регулирования, с целью выявления динамики изменения значений таких показателей.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14. Плановые значения показателей надежности и энергетической эффективности объектов теплоснабжения рассчитываются органом регулирования до 15 марта года, предшествующего началу очередного периода регулирования.</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4" w:name="Par77"/>
      <w:bookmarkEnd w:id="4"/>
      <w:r>
        <w:rPr>
          <w:rFonts w:ascii="Calibri" w:hAnsi="Calibri" w:cs="Calibri"/>
        </w:rPr>
        <w:t>15. Плановые значения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тепловых сетях на 1 км тепловых сетей в целом по теплоснабжающей организации (</w:t>
      </w:r>
      <w:r>
        <w:rPr>
          <w:rFonts w:ascii="Calibri" w:hAnsi="Calibri" w:cs="Calibri"/>
          <w:noProof/>
          <w:position w:val="-14"/>
        </w:rPr>
        <w:drawing>
          <wp:inline distT="0" distB="0" distL="0" distR="0">
            <wp:extent cx="647700" cy="2762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647700" cy="276225"/>
                    </a:xfrm>
                    <a:prstGeom prst="rect">
                      <a:avLst/>
                    </a:prstGeom>
                    <a:noFill/>
                    <a:ln w="9525">
                      <a:noFill/>
                      <a:miter lim="800000"/>
                      <a:headEnd/>
                      <a:tailEnd/>
                    </a:ln>
                  </pic:spPr>
                </pic:pic>
              </a:graphicData>
            </a:graphic>
          </wp:inline>
        </w:drawing>
      </w:r>
      <w:r>
        <w:rPr>
          <w:rFonts w:ascii="Calibri" w:hAnsi="Calibri" w:cs="Calibri"/>
        </w:rPr>
        <w:t>), рассчитываются по формуле:</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noProof/>
          <w:position w:val="-18"/>
        </w:rPr>
        <w:drawing>
          <wp:inline distT="0" distB="0" distL="0" distR="0">
            <wp:extent cx="3810000" cy="333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810000" cy="333375"/>
                    </a:xfrm>
                    <a:prstGeom prst="rect">
                      <a:avLst/>
                    </a:prstGeom>
                    <a:noFill/>
                    <a:ln w="9525">
                      <a:noFill/>
                      <a:miter lim="800000"/>
                      <a:headEnd/>
                      <a:tailEnd/>
                    </a:ln>
                  </pic:spPr>
                </pic:pic>
              </a:graphicData>
            </a:graphic>
          </wp:inline>
        </w:drawing>
      </w:r>
      <w:r>
        <w:rPr>
          <w:rFonts w:ascii="Calibri" w:hAnsi="Calibri" w:cs="Calibri"/>
        </w:rPr>
        <w:t>,</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800100" cy="2667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srcRect/>
                    <a:stretch>
                      <a:fillRect/>
                    </a:stretch>
                  </pic:blipFill>
                  <pic:spPr bwMode="auto">
                    <a:xfrm>
                      <a:off x="0" y="0"/>
                      <a:ext cx="800100" cy="266700"/>
                    </a:xfrm>
                    <a:prstGeom prst="rect">
                      <a:avLst/>
                    </a:prstGeom>
                    <a:noFill/>
                    <a:ln w="9525">
                      <a:noFill/>
                      <a:miter lim="800000"/>
                      <a:headEnd/>
                      <a:tailEnd/>
                    </a:ln>
                  </pic:spPr>
                </pic:pic>
              </a:graphicData>
            </a:graphic>
          </wp:inline>
        </w:drawing>
      </w:r>
      <w:r>
        <w:rPr>
          <w:rFonts w:ascii="Calibri" w:hAnsi="Calibri" w:cs="Calibri"/>
        </w:rPr>
        <w:t xml:space="preserve"> - фактическое количество прекращений подачи тепловой энергии, причиной которых явились технологические нарушения на тепловых сетях, за год, предшествующий году начала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171450" cy="2476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171450" cy="247650"/>
                    </a:xfrm>
                    <a:prstGeom prst="rect">
                      <a:avLst/>
                    </a:prstGeom>
                    <a:noFill/>
                    <a:ln w="9525">
                      <a:noFill/>
                      <a:miter lim="800000"/>
                      <a:headEnd/>
                      <a:tailEnd/>
                    </a:ln>
                  </pic:spPr>
                </pic:pic>
              </a:graphicData>
            </a:graphic>
          </wp:inline>
        </w:drawing>
      </w:r>
      <w:r>
        <w:rPr>
          <w:rFonts w:ascii="Calibri" w:hAnsi="Calibri" w:cs="Calibri"/>
        </w:rPr>
        <w:t xml:space="preserve"> - 1-й год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171450" cy="2476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srcRect/>
                    <a:stretch>
                      <a:fillRect/>
                    </a:stretch>
                  </pic:blipFill>
                  <pic:spPr bwMode="auto">
                    <a:xfrm>
                      <a:off x="0" y="0"/>
                      <a:ext cx="171450" cy="247650"/>
                    </a:xfrm>
                    <a:prstGeom prst="rect">
                      <a:avLst/>
                    </a:prstGeom>
                    <a:noFill/>
                    <a:ln w="9525">
                      <a:noFill/>
                      <a:miter lim="800000"/>
                      <a:headEnd/>
                      <a:tailEnd/>
                    </a:ln>
                  </pic:spPr>
                </pic:pic>
              </a:graphicData>
            </a:graphic>
          </wp:inline>
        </w:drawing>
      </w:r>
      <w:r>
        <w:rPr>
          <w:rFonts w:ascii="Calibri" w:hAnsi="Calibri" w:cs="Calibri"/>
        </w:rPr>
        <w:t xml:space="preserve"> - 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L - суммарная протяженность тепловой сети в двухтрубном исчислении, километров;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638175" cy="285750"/>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srcRect/>
                    <a:stretch>
                      <a:fillRect/>
                    </a:stretch>
                  </pic:blipFill>
                  <pic:spPr bwMode="auto">
                    <a:xfrm>
                      <a:off x="0" y="0"/>
                      <a:ext cx="638175" cy="285750"/>
                    </a:xfrm>
                    <a:prstGeom prst="rect">
                      <a:avLst/>
                    </a:prstGeom>
                    <a:noFill/>
                    <a:ln w="9525">
                      <a:noFill/>
                      <a:miter lim="800000"/>
                      <a:headEnd/>
                      <a:tailEnd/>
                    </a:ln>
                  </pic:spPr>
                </pic:pic>
              </a:graphicData>
            </a:graphic>
          </wp:inline>
        </w:drawing>
      </w:r>
      <w:r>
        <w:rPr>
          <w:rFonts w:ascii="Calibri" w:hAnsi="Calibri" w:cs="Calibri"/>
        </w:rPr>
        <w:t xml:space="preserve"> - суммарная протяженность строящихся, реконструируемых и модернизируемых тепловых сетей в двухтрубном исчислении, вводимых в эксплуатацию в соответствующем году реализации инвестиционной программы, километров;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247650" cy="276225"/>
            <wp:effectExtent l="1905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srcRect/>
                    <a:stretch>
                      <a:fillRect/>
                    </a:stretch>
                  </pic:blipFill>
                  <pic:spPr bwMode="auto">
                    <a:xfrm>
                      <a:off x="0" y="0"/>
                      <a:ext cx="247650" cy="276225"/>
                    </a:xfrm>
                    <a:prstGeom prst="rect">
                      <a:avLst/>
                    </a:prstGeom>
                    <a:noFill/>
                    <a:ln w="9525">
                      <a:noFill/>
                      <a:miter lim="800000"/>
                      <a:headEnd/>
                      <a:tailEnd/>
                    </a:ln>
                  </pic:spPr>
                </pic:pic>
              </a:graphicData>
            </a:graphic>
          </wp:inline>
        </w:drawing>
      </w:r>
      <w:r>
        <w:rPr>
          <w:rFonts w:ascii="Calibri" w:hAnsi="Calibri" w:cs="Calibri"/>
        </w:rPr>
        <w:t xml:space="preserve"> - общая протяженность тепловых сетей в двухтрубном исчислении в году, соответствующем году реализации инвестиционной программы, километров;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371475" cy="247650"/>
            <wp:effectExtent l="1905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srcRect/>
                    <a:stretch>
                      <a:fillRect/>
                    </a:stretch>
                  </pic:blipFill>
                  <pic:spPr bwMode="auto">
                    <a:xfrm>
                      <a:off x="0" y="0"/>
                      <a:ext cx="371475" cy="247650"/>
                    </a:xfrm>
                    <a:prstGeom prst="rect">
                      <a:avLst/>
                    </a:prstGeom>
                    <a:noFill/>
                    <a:ln w="9525">
                      <a:noFill/>
                      <a:miter lim="800000"/>
                      <a:headEnd/>
                      <a:tailEnd/>
                    </a:ln>
                  </pic:spPr>
                </pic:pic>
              </a:graphicData>
            </a:graphic>
          </wp:inline>
        </w:drawing>
      </w:r>
      <w:r>
        <w:rPr>
          <w:rFonts w:ascii="Calibri" w:hAnsi="Calibri" w:cs="Calibri"/>
        </w:rPr>
        <w:t xml:space="preserve"> - год, предшествующий году начала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случае если рассчитанное значение указанного показателя выше значения, предусмотренного концессионным соглашением на соответствующий год, то устанавливается значение показателя, предусмотренное концессионным соглашением.</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5" w:name="Par90"/>
      <w:bookmarkEnd w:id="5"/>
      <w:r>
        <w:rPr>
          <w:rFonts w:ascii="Calibri" w:hAnsi="Calibri" w:cs="Calibri"/>
        </w:rPr>
        <w:t>16. Плановое значение показателя надежности объектов теплоснабжения, определяемого количеством прекращений подачи тепловой энергии в результате технологических нарушений на источниках тепловой энергии на 1 Гкал/час установленной мощности (</w:t>
      </w:r>
      <w:r>
        <w:rPr>
          <w:rFonts w:ascii="Calibri" w:hAnsi="Calibri" w:cs="Calibri"/>
          <w:noProof/>
          <w:position w:val="-14"/>
        </w:rPr>
        <w:drawing>
          <wp:inline distT="0" distB="0" distL="0" distR="0">
            <wp:extent cx="590550" cy="27622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srcRect/>
                    <a:stretch>
                      <a:fillRect/>
                    </a:stretch>
                  </pic:blipFill>
                  <pic:spPr bwMode="auto">
                    <a:xfrm>
                      <a:off x="0" y="0"/>
                      <a:ext cx="590550" cy="276225"/>
                    </a:xfrm>
                    <a:prstGeom prst="rect">
                      <a:avLst/>
                    </a:prstGeom>
                    <a:noFill/>
                    <a:ln w="9525">
                      <a:noFill/>
                      <a:miter lim="800000"/>
                      <a:headEnd/>
                      <a:tailEnd/>
                    </a:ln>
                  </pic:spPr>
                </pic:pic>
              </a:graphicData>
            </a:graphic>
          </wp:inline>
        </w:drawing>
      </w:r>
      <w:r>
        <w:rPr>
          <w:rFonts w:ascii="Calibri" w:hAnsi="Calibri" w:cs="Calibri"/>
        </w:rPr>
        <w:t>), рассчитывается по формуле:</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noProof/>
          <w:position w:val="-18"/>
        </w:rPr>
        <w:drawing>
          <wp:inline distT="0" distB="0" distL="0" distR="0">
            <wp:extent cx="3924300" cy="33337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924300" cy="333375"/>
                    </a:xfrm>
                    <a:prstGeom prst="rect">
                      <a:avLst/>
                    </a:prstGeom>
                    <a:noFill/>
                    <a:ln w="9525">
                      <a:noFill/>
                      <a:miter lim="800000"/>
                      <a:headEnd/>
                      <a:tailEnd/>
                    </a:ln>
                  </pic:spPr>
                </pic:pic>
              </a:graphicData>
            </a:graphic>
          </wp:inline>
        </w:drawing>
      </w:r>
      <w:r>
        <w:rPr>
          <w:rFonts w:ascii="Calibri" w:hAnsi="Calibri" w:cs="Calibri"/>
        </w:rPr>
        <w:t>,</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771525" cy="285750"/>
            <wp:effectExtent l="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srcRect/>
                    <a:stretch>
                      <a:fillRect/>
                    </a:stretch>
                  </pic:blipFill>
                  <pic:spPr bwMode="auto">
                    <a:xfrm>
                      <a:off x="0" y="0"/>
                      <a:ext cx="771525" cy="285750"/>
                    </a:xfrm>
                    <a:prstGeom prst="rect">
                      <a:avLst/>
                    </a:prstGeom>
                    <a:noFill/>
                    <a:ln w="9525">
                      <a:noFill/>
                      <a:miter lim="800000"/>
                      <a:headEnd/>
                      <a:tailEnd/>
                    </a:ln>
                  </pic:spPr>
                </pic:pic>
              </a:graphicData>
            </a:graphic>
          </wp:inline>
        </w:drawing>
      </w:r>
      <w:r>
        <w:rPr>
          <w:rFonts w:ascii="Calibri" w:hAnsi="Calibri" w:cs="Calibri"/>
        </w:rPr>
        <w:t xml:space="preserve"> - фактическое количество прекращений подачи тепловой энергии, причиной которых явились технологические нарушения на источниках тепловой энергии, за год, предшествующий году начала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171450" cy="2476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a:srcRect/>
                    <a:stretch>
                      <a:fillRect/>
                    </a:stretch>
                  </pic:blipFill>
                  <pic:spPr bwMode="auto">
                    <a:xfrm>
                      <a:off x="0" y="0"/>
                      <a:ext cx="171450" cy="247650"/>
                    </a:xfrm>
                    <a:prstGeom prst="rect">
                      <a:avLst/>
                    </a:prstGeom>
                    <a:noFill/>
                    <a:ln w="9525">
                      <a:noFill/>
                      <a:miter lim="800000"/>
                      <a:headEnd/>
                      <a:tailEnd/>
                    </a:ln>
                  </pic:spPr>
                </pic:pic>
              </a:graphicData>
            </a:graphic>
          </wp:inline>
        </w:drawing>
      </w:r>
      <w:r>
        <w:rPr>
          <w:rFonts w:ascii="Calibri" w:hAnsi="Calibri" w:cs="Calibri"/>
        </w:rPr>
        <w:t xml:space="preserve"> - первый год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704850" cy="28575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srcRect/>
                    <a:stretch>
                      <a:fillRect/>
                    </a:stretch>
                  </pic:blipFill>
                  <pic:spPr bwMode="auto">
                    <a:xfrm>
                      <a:off x="0" y="0"/>
                      <a:ext cx="704850" cy="285750"/>
                    </a:xfrm>
                    <a:prstGeom prst="rect">
                      <a:avLst/>
                    </a:prstGeom>
                    <a:noFill/>
                    <a:ln w="9525">
                      <a:noFill/>
                      <a:miter lim="800000"/>
                      <a:headEnd/>
                      <a:tailEnd/>
                    </a:ln>
                  </pic:spPr>
                </pic:pic>
              </a:graphicData>
            </a:graphic>
          </wp:inline>
        </w:drawing>
      </w:r>
      <w:r>
        <w:rPr>
          <w:rFonts w:ascii="Calibri" w:hAnsi="Calibri" w:cs="Calibri"/>
        </w:rPr>
        <w:t xml:space="preserve"> - суммарная мощность строящихся, реконструируемых и модернизируемых источников тепловой энергии, вводимых в эксплуатацию в году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M - мощность источника тепловой энергии, Гкал/час;</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4"/>
        </w:rPr>
        <w:drawing>
          <wp:inline distT="0" distB="0" distL="0" distR="0">
            <wp:extent cx="314325" cy="276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srcRect/>
                    <a:stretch>
                      <a:fillRect/>
                    </a:stretch>
                  </pic:blipFill>
                  <pic:spPr bwMode="auto">
                    <a:xfrm>
                      <a:off x="0" y="0"/>
                      <a:ext cx="314325" cy="276225"/>
                    </a:xfrm>
                    <a:prstGeom prst="rect">
                      <a:avLst/>
                    </a:prstGeom>
                    <a:noFill/>
                    <a:ln w="9525">
                      <a:noFill/>
                      <a:miter lim="800000"/>
                      <a:headEnd/>
                      <a:tailEnd/>
                    </a:ln>
                  </pic:spPr>
                </pic:pic>
              </a:graphicData>
            </a:graphic>
          </wp:inline>
        </w:drawing>
      </w:r>
      <w:r>
        <w:rPr>
          <w:rFonts w:ascii="Calibri" w:hAnsi="Calibri" w:cs="Calibri"/>
        </w:rPr>
        <w:t xml:space="preserve"> - общая мощность источников тепловой энергии в году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171450" cy="2476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a:srcRect/>
                    <a:stretch>
                      <a:fillRect/>
                    </a:stretch>
                  </pic:blipFill>
                  <pic:spPr bwMode="auto">
                    <a:xfrm>
                      <a:off x="0" y="0"/>
                      <a:ext cx="171450" cy="247650"/>
                    </a:xfrm>
                    <a:prstGeom prst="rect">
                      <a:avLst/>
                    </a:prstGeom>
                    <a:noFill/>
                    <a:ln w="9525">
                      <a:noFill/>
                      <a:miter lim="800000"/>
                      <a:headEnd/>
                      <a:tailEnd/>
                    </a:ln>
                  </pic:spPr>
                </pic:pic>
              </a:graphicData>
            </a:graphic>
          </wp:inline>
        </w:drawing>
      </w:r>
      <w:r>
        <w:rPr>
          <w:rFonts w:ascii="Calibri" w:hAnsi="Calibri" w:cs="Calibri"/>
        </w:rPr>
        <w:t xml:space="preserve"> - соответствующий год реализации инвестиционной программы, на который устанавливаются показатели надежности и энергетической эффективности объектов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371475" cy="247650"/>
            <wp:effectExtent l="19050" t="0" r="9525"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srcRect/>
                    <a:stretch>
                      <a:fillRect/>
                    </a:stretch>
                  </pic:blipFill>
                  <pic:spPr bwMode="auto">
                    <a:xfrm>
                      <a:off x="0" y="0"/>
                      <a:ext cx="371475" cy="247650"/>
                    </a:xfrm>
                    <a:prstGeom prst="rect">
                      <a:avLst/>
                    </a:prstGeom>
                    <a:noFill/>
                    <a:ln w="9525">
                      <a:noFill/>
                      <a:miter lim="800000"/>
                      <a:headEnd/>
                      <a:tailEnd/>
                    </a:ln>
                  </pic:spPr>
                </pic:pic>
              </a:graphicData>
            </a:graphic>
          </wp:inline>
        </w:drawing>
      </w:r>
      <w:r>
        <w:rPr>
          <w:rFonts w:ascii="Calibri" w:hAnsi="Calibri" w:cs="Calibri"/>
        </w:rPr>
        <w:t xml:space="preserve"> - год, предшествующий году начала реализации инвестиционной программы.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рассчитанное значение указанного показателя выше значения, предусмотренного концессионным соглашением на соответствующий год, то устанавливается значение показателя, предусмотренное концессионным соглашением.</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17. Плановые значения показателя энергетической эффективности, определяемого удельным расходом топлива на производство единицы тепловой энергии, отпускаемой с коллекторов источников тепловой энергии, для организаций, эксплуатирующих объекты теплоснабжения на основании концессионного соглашения, должны быть установлены как в целом для организации, так и для каждого предусмотренного утвержденной инвестиционной программой объекта теплоснабжения таким образом, чтобы обеспечивать достижение предусмотренных концессионным соглашением плановых значений показателей надежности и энергетической эффективности объектов теплоснабжения в сроки, предусмотренные концессионным соглашением.</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Плановые значения показателя энергетической эффективности, определяемого удельным расходом топлива на производство единицы тепловой энергии, отпускаемой с коллекторов источников тепловой энергии, для организаций, эксплуатирующих объекты теплоснабжения не на основании концессионного соглашения, должны быть установлены на уровне нормативов удельного расхода топлива.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18. Плановые значения показателя энергетической эффективности, определяемого отношением величины технологических потерь тепловой энергии, теплоносителя к материальной характеристике тепловой сети, для организаций, эксплуатирующих объекты теплоснабжения на основании концессионного соглашения, должны быть установлены как в целом для организации, так и для каждого предусмотренного утвержденной инвестиционной программой участка тепловой сети таким образом, чтобы обеспечивать достижение предусмотренного </w:t>
      </w:r>
      <w:r>
        <w:rPr>
          <w:rFonts w:ascii="Calibri" w:hAnsi="Calibri" w:cs="Calibri"/>
        </w:rPr>
        <w:lastRenderedPageBreak/>
        <w:t>концессионным соглашением планового значения указанного показателя в сроки, предусмотренные концессионным соглашением.</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19. Плановые значения показателя энергетической эффективности, определяемого отношением величины технологических потерь тепловой энергии к материальной характеристике тепловой сети, для организаций, эксплуатирующих объекты теплоснабжения не на основании концессионного соглашения, должны быть установлены на уровне нормативных технологических потерь, устанавливаемых в соответствии с нормативными правовыми актами в сфере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20. Плановые значения показателей величины технологических потерь при передаче тепловой энергии, теплоносителя по тепловым сетям для теплоснабжающих организаций, эксплуатирующих объекты теплоснабжения на основании концессионного соглашения, должны быть установлены как в целом для организации, так и для каждого предусмотренного утвержденной инвестиционной программой участка тепловой сети таким образом, чтобы обеспечивать достижение предусмотренного концессионным соглашением планового значения показателя в сроки, предусмотренные концессионным соглашением.</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21. Плановые значения показателей величины технологических потерь при передаче тепловой энергии, теплоносителя по тепловым сетям для теплоснабжающих организаций, эксплуатирующих объекты теплоснабжения не на основании концессионного соглашения, устанавливаются на уровне нормативных технологических потерь, определяемых в соответствии с нормативными правовыми актами в сфере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bookmarkStart w:id="6" w:name="Par109"/>
      <w:bookmarkEnd w:id="6"/>
      <w:r>
        <w:rPr>
          <w:rFonts w:ascii="Calibri" w:hAnsi="Calibri" w:cs="Calibri"/>
        </w:rPr>
        <w:t>22. Плановые значения показателей надежности для теплоснабжающей организации, эксплуатирующей объекты теплоснабжения не на основании концессионного соглашения, подлежат корректировке в случае корректировки инвестиционной программы, в том числе в случае корректировки программы на оставшийся период регулирования тарифов, если первоначально тарифы были утверждены на срок не менее 3 лет.</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23. Решение о корректировке плановых значений показателей надежности и энергетической эффективности объектов теплоснабжения принимается органом регулирования. Решение о корректировке плановых значений показателей надежности и энергетической эффективности для изменения условий концессионного соглашения согласовывается с антимонопольным органом.</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24. В случае если теплоснабжающая организация обратилась в орган регулирования с заявлением о корректировке плановых показателей надежности и энергетической эффективности объектов теплоснабжения, орган регулирования рассматривает обращение теплоснабжающей организации и при наличии оснований осуществляет корректировку таких показателей в течение 30 календарных дней после получения заявления теплоснабжающей организации. Для корректировки плановых показателей надежности и энергетической эффективности объектов теплоснабжения орган регулирования запрашивает у теплоснабжающей организации информацию, необходимую для такой корректировки.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25. Орган регулирования обязан пересмотреть плановые значения показателей надежности и энергетической эффективности объектов теплоснабжения по причинам, указанным в </w:t>
      </w:r>
      <w:hyperlink w:anchor="Par109" w:history="1">
        <w:r>
          <w:rPr>
            <w:rFonts w:ascii="Calibri" w:hAnsi="Calibri" w:cs="Calibri"/>
            <w:color w:val="0000FF"/>
          </w:rPr>
          <w:t>пункте 22</w:t>
        </w:r>
      </w:hyperlink>
      <w:r>
        <w:rPr>
          <w:rFonts w:ascii="Calibri" w:hAnsi="Calibri" w:cs="Calibri"/>
        </w:rPr>
        <w:t xml:space="preserve"> настоящих Правил, в течение 30 дней со дня обращения теплоснабжающей организации либо по собственной инициативе при установлении указанных причин пересмотра установленных плановых значений показателей надежности и энергетической эффективности объектов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26. Теплоснабжающая организация обязана до 15 февраля года, предшествующего началу очередного периода регулирования, предоставить в орган регулирования данные об изменениях в объектах инженерной инфраструктуры за истекший период регулирования с указанием изменения установленной мощности источника тепловой энергии, договорной нагрузки, объемов производства и потребления и (или) протяженности тепловых сетей в абсолютном или относительном выражении.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27. Фактические и плановые значения показателей надежности и энергетической эффективности объектов теплоснабжения утверждаются органом регулирования не позднее 30 дней до начала планируемого срока действия инвестиционной программы, концессионного соглашения.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28. В целях определения фактических и плановых значений показателей надежности и энергетической эффективности объектов теплоснабжения орган регулирования вправе запрашивать информацию у уполномоченных федеральных органов исполнительной власти и их территориальных органов, указанных в </w:t>
      </w:r>
      <w:hyperlink w:anchor="Par70" w:history="1">
        <w:r>
          <w:rPr>
            <w:rFonts w:ascii="Calibri" w:hAnsi="Calibri" w:cs="Calibri"/>
            <w:color w:val="0000FF"/>
          </w:rPr>
          <w:t>пункте 12</w:t>
        </w:r>
      </w:hyperlink>
      <w:r>
        <w:rPr>
          <w:rFonts w:ascii="Calibri" w:hAnsi="Calibri" w:cs="Calibri"/>
        </w:rPr>
        <w:t xml:space="preserve"> настоящих Правил. Уполномоченные федеральные органы исполнительной власти и их территориальные органы должны представить ответ в течение 30 календарных дней со дня получения соответствующего запроса.</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outlineLvl w:val="1"/>
        <w:rPr>
          <w:rFonts w:ascii="Calibri" w:hAnsi="Calibri" w:cs="Calibri"/>
        </w:rPr>
      </w:pPr>
      <w:r>
        <w:rPr>
          <w:rFonts w:ascii="Calibri" w:hAnsi="Calibri" w:cs="Calibri"/>
        </w:rPr>
        <w:t>III. Правила расчета фактических значений</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показателей надежности и энергетической эффективности</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объектов теплоснабжения</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29. Фактические значения показателей надежности объектов теплоснабжения определяются исходя из числа нарушений, возникающих в результате аварий, инцидентов на таких объектах, а также в результате перерывов, прекращений, ограничений в подаче тепловой энергии и (или) теплоносителя на границах раздела балансовой принадлежности с потребителями тепловой энергии и (или) другими объектами теплоснабжения, определяемых по приборам учета тепловой энергии либо в соответствии с актами, предусмотренными договором поставки тепловой энергии.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30. Для целей настоящих Правил под продолжительностью прекращения подачи тепловой энергии и (или) теплоносителя понимается интервал времени от момента возникновения прекращения подачи тепловой энергии и (или) теплоносителя до момента его окончания, но не позднее момента ликвидации последствий технологического нарушения в рассматриваемой теплоснабжающей организации, приведшего к прекращению подачи тепловой энергии и (или) теплоносителя. Если до момента ликвидации технологического нарушения у стороны договора возникло несколько случаев прекращения подачи тепловой энергии и (или) теплоносителя, обусловленных этим технологическим нарушением, то все эти случаи считаются одним технологическим нарушением, а их продолжительность у соответствующей стороны договора суммируется для определения продолжительности прекращения подачи тепловой энергии и (или) теплоносителя. В случае если технологическое нарушение одновременно затронуло несколько сторон договора, то его продолжительность определяется как максимальная из всех таких нарушений.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продолжительность одного прекращения подачи тепловой энергии превысила 12 часов с момента его начала, такое прекращение разбивается на несколько прекращений подачи тепловой энергии исходя из продолжительности каждого прекращения подачи тепловой энергии не более 12 часов.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31. Для целей расчета фактических значений показателей надежности объектов теплоснабжения рассматриваются все случаи прекращения подачи тепловой энергии и (или) теплоносителя, превышающие время, предусмотренное договором, или (в случае если в договорах не предусмотрено допустимое время прекращения подачи тепловой энергии и (или) теплоносителя) свыше 4 часов и (или) повлекшие за собой причинение вреда жизни или здоровью людей. Прекращения подачи тепловой энергии, произошедшие в результате технологических нарушений, отключений, переключений на объектах теплосетевого хозяйства, источниках тепловой энергии, не относящихся к этой теплоснабжающей организации, или теплопотребляющих установках потребителя, а также в результате наступления обстоятельств непреодолимой силы, исключаются из расчета фактических значений показателей надежности объектов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32. Обстоятельства и причины возникновения технологических нарушений, повлекших прекращение подачи тепловой энергии, теплоносителя, определяются в установленном порядке в соответствии с </w:t>
      </w:r>
      <w:hyperlink r:id="rId2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8 августа 2012 г. N 808 "Об организации теплоснабжения в Российской Федерации и о внесении изменений в некоторые акты Правительства Российской Федерации". Оформленные по результатам выяснения причин и обстоятельств документы наряду с зарегистрированными в установленном порядке сообщениями сторон договора и данными приборов коммерческого учета тепловой энергии, теплоносителя служат основанием для расчета значений показателей надежности для соответствующих объектов </w:t>
      </w:r>
      <w:r>
        <w:rPr>
          <w:rFonts w:ascii="Calibri" w:hAnsi="Calibri" w:cs="Calibri"/>
        </w:rPr>
        <w:lastRenderedPageBreak/>
        <w:t>теплоснабжения теплоснабжающих организаций, являются обосновывающими материалами и предоставляются (по запросу) органу регулирования.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33. Значения показателей надежности объектов теплоснабжения, указанные в </w:t>
      </w:r>
      <w:hyperlink w:anchor="Par49" w:history="1">
        <w:r>
          <w:rPr>
            <w:rFonts w:ascii="Calibri" w:hAnsi="Calibri" w:cs="Calibri"/>
            <w:color w:val="0000FF"/>
          </w:rPr>
          <w:t>пункте 5</w:t>
        </w:r>
      </w:hyperlink>
      <w:r>
        <w:rPr>
          <w:rFonts w:ascii="Calibri" w:hAnsi="Calibri" w:cs="Calibri"/>
        </w:rPr>
        <w:t xml:space="preserve"> настоящих Правил, рассчитываются как совокупные за расчетный период характеристики нарушений подачи тепловой энергии, теплоносителя, снижение которых ведет к увеличению надежности.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Нарушение подачи тепловой энергии, теплоносителя, затронувшее несколько расчетных периодов регулирования, учитывается в каждом расчетном периоде регулирования в части, относящейся к этому периоду.</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34. 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длины тепловой сети теплоснабжающей организации (</w:t>
      </w:r>
      <w:r>
        <w:rPr>
          <w:rFonts w:ascii="Calibri" w:hAnsi="Calibri" w:cs="Calibri"/>
          <w:noProof/>
          <w:position w:val="-12"/>
        </w:rPr>
        <w:drawing>
          <wp:inline distT="0" distB="0" distL="0" distR="0">
            <wp:extent cx="533400" cy="24765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srcRect/>
                    <a:stretch>
                      <a:fillRect/>
                    </a:stretch>
                  </pic:blipFill>
                  <pic:spPr bwMode="auto">
                    <a:xfrm>
                      <a:off x="0" y="0"/>
                      <a:ext cx="533400" cy="247650"/>
                    </a:xfrm>
                    <a:prstGeom prst="rect">
                      <a:avLst/>
                    </a:prstGeom>
                    <a:noFill/>
                    <a:ln w="9525">
                      <a:noFill/>
                      <a:miter lim="800000"/>
                      <a:headEnd/>
                      <a:tailEnd/>
                    </a:ln>
                  </pic:spPr>
                </pic:pic>
              </a:graphicData>
            </a:graphic>
          </wp:inline>
        </w:drawing>
      </w:r>
      <w:r>
        <w:rPr>
          <w:rFonts w:ascii="Calibri" w:hAnsi="Calibri" w:cs="Calibri"/>
        </w:rPr>
        <w:t>), рассчитывается по формуле:</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noProof/>
          <w:position w:val="-12"/>
        </w:rPr>
        <w:drawing>
          <wp:inline distT="0" distB="0" distL="0" distR="0">
            <wp:extent cx="1457325" cy="24765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srcRect/>
                    <a:stretch>
                      <a:fillRect/>
                    </a:stretch>
                  </pic:blipFill>
                  <pic:spPr bwMode="auto">
                    <a:xfrm>
                      <a:off x="0" y="0"/>
                      <a:ext cx="1457325" cy="247650"/>
                    </a:xfrm>
                    <a:prstGeom prst="rect">
                      <a:avLst/>
                    </a:prstGeom>
                    <a:noFill/>
                    <a:ln w="9525">
                      <a:noFill/>
                      <a:miter lim="800000"/>
                      <a:headEnd/>
                      <a:tailEnd/>
                    </a:ln>
                  </pic:spPr>
                </pic:pic>
              </a:graphicData>
            </a:graphic>
          </wp:inline>
        </w:drawing>
      </w:r>
      <w:r>
        <w:rPr>
          <w:rFonts w:ascii="Calibri" w:hAnsi="Calibri" w:cs="Calibri"/>
        </w:rPr>
        <w:t>,</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581025" cy="247650"/>
            <wp:effectExtent l="0" t="0" r="952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srcRect/>
                    <a:stretch>
                      <a:fillRect/>
                    </a:stretch>
                  </pic:blipFill>
                  <pic:spPr bwMode="auto">
                    <a:xfrm>
                      <a:off x="0" y="0"/>
                      <a:ext cx="581025" cy="247650"/>
                    </a:xfrm>
                    <a:prstGeom prst="rect">
                      <a:avLst/>
                    </a:prstGeom>
                    <a:noFill/>
                    <a:ln w="9525">
                      <a:noFill/>
                      <a:miter lim="800000"/>
                      <a:headEnd/>
                      <a:tailEnd/>
                    </a:ln>
                  </pic:spPr>
                </pic:pic>
              </a:graphicData>
            </a:graphic>
          </wp:inline>
        </w:drawing>
      </w:r>
      <w:r>
        <w:rPr>
          <w:rFonts w:ascii="Calibri" w:hAnsi="Calibri" w:cs="Calibri"/>
        </w:rPr>
        <w:t xml:space="preserve"> - количество прекращений подачи тепловой энергии, зафиксированное на границах раздела балансовой принадлежности сторон договора, причиной которых явились технологические нарушения на тепловых сетях. В случае если в разных точках сети одновременно были зафиксированы несколько случаев прекращений подачи тепловой энергии, теплоносителя, они могут быть определены теплоснабжающей организацией как одно прекращение при условии, что такие точки находятся в одной системе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L - суммарная протяженность тепловой сети в двухтрубном исчислении, километров.</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35. Фактическое значение показателя надежности объектов теплоснабжения, определяемого количеством нарушений подачи тепловой энергии, теплоносителя в расчете на единицу тепловой мощности источника тепловой энергии теплоснабжающей организации, рассчитывается по формуле:</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noProof/>
          <w:position w:val="-12"/>
        </w:rPr>
        <w:drawing>
          <wp:inline distT="0" distB="0" distL="0" distR="0">
            <wp:extent cx="1409700" cy="247650"/>
            <wp:effectExtent l="1905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srcRect/>
                    <a:stretch>
                      <a:fillRect/>
                    </a:stretch>
                  </pic:blipFill>
                  <pic:spPr bwMode="auto">
                    <a:xfrm>
                      <a:off x="0" y="0"/>
                      <a:ext cx="1409700" cy="247650"/>
                    </a:xfrm>
                    <a:prstGeom prst="rect">
                      <a:avLst/>
                    </a:prstGeom>
                    <a:noFill/>
                    <a:ln w="9525">
                      <a:noFill/>
                      <a:miter lim="800000"/>
                      <a:headEnd/>
                      <a:tailEnd/>
                    </a:ln>
                  </pic:spPr>
                </pic:pic>
              </a:graphicData>
            </a:graphic>
          </wp:inline>
        </w:drawing>
      </w:r>
      <w:r>
        <w:rPr>
          <w:rFonts w:ascii="Calibri" w:hAnsi="Calibri" w:cs="Calibri"/>
        </w:rPr>
        <w:t>,</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523875" cy="247650"/>
            <wp:effectExtent l="0" t="0" r="9525"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srcRect/>
                    <a:stretch>
                      <a:fillRect/>
                    </a:stretch>
                  </pic:blipFill>
                  <pic:spPr bwMode="auto">
                    <a:xfrm>
                      <a:off x="0" y="0"/>
                      <a:ext cx="523875" cy="247650"/>
                    </a:xfrm>
                    <a:prstGeom prst="rect">
                      <a:avLst/>
                    </a:prstGeom>
                    <a:noFill/>
                    <a:ln w="9525">
                      <a:noFill/>
                      <a:miter lim="800000"/>
                      <a:headEnd/>
                      <a:tailEnd/>
                    </a:ln>
                  </pic:spPr>
                </pic:pic>
              </a:graphicData>
            </a:graphic>
          </wp:inline>
        </w:drawing>
      </w:r>
      <w:r>
        <w:rPr>
          <w:rFonts w:ascii="Calibri" w:hAnsi="Calibri" w:cs="Calibri"/>
        </w:rPr>
        <w:t xml:space="preserve"> - количество прекращений подачи тепловой энергии, зафиксированное на границе балансовой принадлежности сторон договора, причиной которых явились технологические нарушения на источниках тепловой энергии. В случае если у организации установлены приборы учета на источниках тепловой энергии, при определении фактического количества прекращений подачи тепловой энергии, теплоносителя используются данные таких приборов учета.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случае если в разных точках одновременно были зафиксированы несколько случаев прекращений подачи тепловой энергии, теплоносителя, они могут быть определены теплоснабжающей организацией как одно прекращение при условии, что такие точки находятся в одной системе теплоснабжения;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M - суммарная располагаемая мощность источников тепловой энергии, Гкал/час.</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36. Фактическое значение показателя энергетической эффективности, определяемого удельным расходом топлива на производство единицы тепловой энергии, отпускаемой с коллекторов источников тепловой энергии, рассчитывается в соответствии с порядком определения нормативов удельного расхода топлива при производстве тепловой энергии, установленным федеральным органом исполнительной власти, осуществляющим выработку и реализацию государственной политики в сфере топливно-энергетического комплекса.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37. Фактическое значение показателя величины технологических потерь при передаче тепловой энергии (Гкал/год), теплоносителя (тонн/год) по тепловым сетям рассчитывается в соответствии с порядком определения нормативов технологических потерь при передаче </w:t>
      </w:r>
      <w:r>
        <w:rPr>
          <w:rFonts w:ascii="Calibri" w:hAnsi="Calibri" w:cs="Calibri"/>
        </w:rPr>
        <w:lastRenderedPageBreak/>
        <w:t>тепловой энергии, теплоносителя, утвержденным федеральным органом исполнительной власти, осуществляющим выработку и реализацию государственной политики в сфере топливно-энергетического комплекса.</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38. Фактическое значение показателя энергетической эффективности объектов теплоснабжения, определяемого отношением величины технологических потерь тепловой энергии, теплоносителя к материальной характеристике тепловой сети (</w:t>
      </w:r>
      <w:r>
        <w:rPr>
          <w:rFonts w:ascii="Calibri" w:hAnsi="Calibri" w:cs="Calibri"/>
          <w:noProof/>
          <w:position w:val="-12"/>
        </w:rPr>
        <w:drawing>
          <wp:inline distT="0" distB="0" distL="0" distR="0">
            <wp:extent cx="295275" cy="2476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srcRect/>
                    <a:stretch>
                      <a:fillRect/>
                    </a:stretch>
                  </pic:blipFill>
                  <pic:spPr bwMode="auto">
                    <a:xfrm>
                      <a:off x="0" y="0"/>
                      <a:ext cx="295275" cy="247650"/>
                    </a:xfrm>
                    <a:prstGeom prst="rect">
                      <a:avLst/>
                    </a:prstGeom>
                    <a:noFill/>
                    <a:ln w="9525">
                      <a:noFill/>
                      <a:miter lim="800000"/>
                      <a:headEnd/>
                      <a:tailEnd/>
                    </a:ln>
                  </pic:spPr>
                </pic:pic>
              </a:graphicData>
            </a:graphic>
          </wp:inline>
        </w:drawing>
      </w:r>
      <w:r>
        <w:rPr>
          <w:rFonts w:ascii="Calibri" w:hAnsi="Calibri" w:cs="Calibri"/>
        </w:rPr>
        <w:t>), рассчитывается по формуле:</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noProof/>
          <w:position w:val="-12"/>
        </w:rPr>
        <w:drawing>
          <wp:inline distT="0" distB="0" distL="0" distR="0">
            <wp:extent cx="1381125" cy="247650"/>
            <wp:effectExtent l="0" t="0" r="9525"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srcRect/>
                    <a:stretch>
                      <a:fillRect/>
                    </a:stretch>
                  </pic:blipFill>
                  <pic:spPr bwMode="auto">
                    <a:xfrm>
                      <a:off x="0" y="0"/>
                      <a:ext cx="1381125" cy="247650"/>
                    </a:xfrm>
                    <a:prstGeom prst="rect">
                      <a:avLst/>
                    </a:prstGeom>
                    <a:noFill/>
                    <a:ln w="9525">
                      <a:noFill/>
                      <a:miter lim="800000"/>
                      <a:headEnd/>
                      <a:tailEnd/>
                    </a:ln>
                  </pic:spPr>
                </pic:pic>
              </a:graphicData>
            </a:graphic>
          </wp:inline>
        </w:drawing>
      </w:r>
      <w:r>
        <w:rPr>
          <w:rFonts w:ascii="Calibri" w:hAnsi="Calibri" w:cs="Calibri"/>
        </w:rPr>
        <w:t>,</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где:</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533400" cy="247650"/>
            <wp:effectExtent l="0" t="0" r="0"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srcRect/>
                    <a:stretch>
                      <a:fillRect/>
                    </a:stretch>
                  </pic:blipFill>
                  <pic:spPr bwMode="auto">
                    <a:xfrm>
                      <a:off x="0" y="0"/>
                      <a:ext cx="533400" cy="247650"/>
                    </a:xfrm>
                    <a:prstGeom prst="rect">
                      <a:avLst/>
                    </a:prstGeom>
                    <a:noFill/>
                    <a:ln w="9525">
                      <a:noFill/>
                      <a:miter lim="800000"/>
                      <a:headEnd/>
                      <a:tailEnd/>
                    </a:ln>
                  </pic:spPr>
                </pic:pic>
              </a:graphicData>
            </a:graphic>
          </wp:inline>
        </w:drawing>
      </w:r>
      <w:r>
        <w:rPr>
          <w:rFonts w:ascii="Calibri" w:hAnsi="Calibri" w:cs="Calibri"/>
        </w:rPr>
        <w:t xml:space="preserve"> - величина технологических потерь при передаче тепловой энергии, теплоносителя по тепловым сетям, Гкал, тонн;</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noProof/>
          <w:position w:val="-12"/>
        </w:rPr>
        <w:drawing>
          <wp:inline distT="0" distB="0" distL="0" distR="0">
            <wp:extent cx="352425" cy="247650"/>
            <wp:effectExtent l="19050" t="0" r="9525"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srcRect/>
                    <a:stretch>
                      <a:fillRect/>
                    </a:stretch>
                  </pic:blipFill>
                  <pic:spPr bwMode="auto">
                    <a:xfrm>
                      <a:off x="0" y="0"/>
                      <a:ext cx="352425" cy="247650"/>
                    </a:xfrm>
                    <a:prstGeom prst="rect">
                      <a:avLst/>
                    </a:prstGeom>
                    <a:noFill/>
                    <a:ln w="9525">
                      <a:noFill/>
                      <a:miter lim="800000"/>
                      <a:headEnd/>
                      <a:tailEnd/>
                    </a:ln>
                  </pic:spPr>
                </pic:pic>
              </a:graphicData>
            </a:graphic>
          </wp:inline>
        </w:drawing>
      </w:r>
      <w:r>
        <w:rPr>
          <w:rFonts w:ascii="Calibri" w:hAnsi="Calibri" w:cs="Calibri"/>
        </w:rPr>
        <w:t xml:space="preserve"> - материальная характеристика тепловой сети (по видам теплоносителя - пар, конденсат, вода), определенная значением суммы произведений значений наружных диаметров трубопроводов отдельных участков тепловой сети (метров) на длину этих участков (метров). Материальная характеристика тепловой сети (квадратных метров) включает материальную характеристику всех участков тепловой сети.</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jc w:val="center"/>
        <w:outlineLvl w:val="1"/>
        <w:rPr>
          <w:rFonts w:ascii="Calibri" w:hAnsi="Calibri" w:cs="Calibri"/>
        </w:rPr>
      </w:pPr>
      <w:r>
        <w:rPr>
          <w:rFonts w:ascii="Calibri" w:hAnsi="Calibri" w:cs="Calibri"/>
        </w:rPr>
        <w:t>IV. Определение органом регулирования факта достижения</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теплоснабжающей организацией плановых значений показателей</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надежности и энергетической эффективности</w:t>
      </w:r>
    </w:p>
    <w:p w:rsidR="002C5E94" w:rsidRDefault="002C5E94" w:rsidP="002C5E94">
      <w:pPr>
        <w:autoSpaceDE w:val="0"/>
        <w:autoSpaceDN w:val="0"/>
        <w:adjustRightInd w:val="0"/>
        <w:spacing w:after="0" w:line="240" w:lineRule="auto"/>
        <w:jc w:val="center"/>
        <w:rPr>
          <w:rFonts w:ascii="Calibri" w:hAnsi="Calibri" w:cs="Calibri"/>
        </w:rPr>
      </w:pPr>
      <w:r>
        <w:rPr>
          <w:rFonts w:ascii="Calibri" w:hAnsi="Calibri" w:cs="Calibri"/>
        </w:rPr>
        <w:t>объектов теплоснабжения</w:t>
      </w:r>
    </w:p>
    <w:p w:rsidR="002C5E94" w:rsidRDefault="002C5E94" w:rsidP="002C5E94">
      <w:pPr>
        <w:autoSpaceDE w:val="0"/>
        <w:autoSpaceDN w:val="0"/>
        <w:adjustRightInd w:val="0"/>
        <w:spacing w:after="0" w:line="240" w:lineRule="auto"/>
        <w:jc w:val="center"/>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39. Орган регулирования определяет факт достижения теплоснабжающей организацией плановых значений показателей надежности и энергетической эффективности объекта теплоснабжения на основании данных, содержащихся в следующих источниках:</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а) журнал учета текущей информации о нарушениях в подаче тепловой энергии теплоснабжающей организации в отопительный и межотопительный периоды;</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б) журнал учета текущей информации по расходу натурального топлива на производство тепловой энергии и учета потерь тепловой энергии на тепловых сетях теплоснабжающей организации;</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в) ведомость учета суточного отпуска тепловой энергии и теплоносителя;</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г) отчеты о фактических значениях показателей, представляемые теплоснабжающими организациями по следующим формам федеральной государственной статистической отчетности:</w:t>
      </w:r>
    </w:p>
    <w:p w:rsidR="002C5E94" w:rsidRDefault="002C5E94" w:rsidP="002C5E94">
      <w:pPr>
        <w:autoSpaceDE w:val="0"/>
        <w:autoSpaceDN w:val="0"/>
        <w:adjustRightInd w:val="0"/>
        <w:spacing w:after="0" w:line="240" w:lineRule="auto"/>
        <w:ind w:firstLine="540"/>
        <w:jc w:val="both"/>
        <w:rPr>
          <w:rFonts w:ascii="Calibri" w:hAnsi="Calibri" w:cs="Calibri"/>
        </w:rPr>
      </w:pPr>
      <w:hyperlink r:id="rId34" w:history="1">
        <w:r>
          <w:rPr>
            <w:rFonts w:ascii="Calibri" w:hAnsi="Calibri" w:cs="Calibri"/>
            <w:color w:val="0000FF"/>
          </w:rPr>
          <w:t>форма 11-ТЭР</w:t>
        </w:r>
      </w:hyperlink>
      <w:r>
        <w:rPr>
          <w:rFonts w:ascii="Calibri" w:hAnsi="Calibri" w:cs="Calibri"/>
        </w:rPr>
        <w:t xml:space="preserve"> "Сведения об использовании топлива, теплоэнергии и электроэнергии на производство отдельных видов продукции, работ (услуг)";</w:t>
      </w:r>
    </w:p>
    <w:p w:rsidR="002C5E94" w:rsidRDefault="002C5E94" w:rsidP="002C5E94">
      <w:pPr>
        <w:autoSpaceDE w:val="0"/>
        <w:autoSpaceDN w:val="0"/>
        <w:adjustRightInd w:val="0"/>
        <w:spacing w:after="0" w:line="240" w:lineRule="auto"/>
        <w:ind w:firstLine="540"/>
        <w:jc w:val="both"/>
        <w:rPr>
          <w:rFonts w:ascii="Calibri" w:hAnsi="Calibri" w:cs="Calibri"/>
        </w:rPr>
      </w:pPr>
      <w:hyperlink r:id="rId35" w:history="1">
        <w:r>
          <w:rPr>
            <w:rFonts w:ascii="Calibri" w:hAnsi="Calibri" w:cs="Calibri"/>
            <w:color w:val="0000FF"/>
          </w:rPr>
          <w:t>форма 1-ТЕП</w:t>
        </w:r>
      </w:hyperlink>
      <w:r>
        <w:rPr>
          <w:rFonts w:ascii="Calibri" w:hAnsi="Calibri" w:cs="Calibri"/>
        </w:rPr>
        <w:t xml:space="preserve"> "Сведения о снабжении теплоэнергией";</w:t>
      </w:r>
    </w:p>
    <w:p w:rsidR="002C5E94" w:rsidRDefault="002C5E94" w:rsidP="002C5E94">
      <w:pPr>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форма 6-ТП</w:t>
        </w:r>
      </w:hyperlink>
      <w:r>
        <w:rPr>
          <w:rFonts w:ascii="Calibri" w:hAnsi="Calibri" w:cs="Calibri"/>
        </w:rPr>
        <w:t xml:space="preserve"> "Сведения о работе тепловой электростанции";</w:t>
      </w:r>
    </w:p>
    <w:p w:rsidR="002C5E94" w:rsidRDefault="002C5E94" w:rsidP="002C5E94">
      <w:pPr>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форма 46-ТЭ</w:t>
        </w:r>
      </w:hyperlink>
      <w:r>
        <w:rPr>
          <w:rFonts w:ascii="Calibri" w:hAnsi="Calibri" w:cs="Calibri"/>
        </w:rPr>
        <w:t xml:space="preserve"> "Сведения о полезном отпуске (продаже) тепловой энергии отдельным категориям потребителей".</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40. Фактические значения показателей надежности и энергетической эффективности объектов теплоснабжения, представленные теплоснабжающими организациями в орган регулирования, сверяются с данными, содержащимися в акте проверки готовности к отопительному периоду и паспорте готовности к отопительному периоду.</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41. Расчет фактических значений показателей надежности и энергетической эффективности объектов теплоснабжения осуществляется органом регулирования на основании данных, представленных теплоснабжающей организацией не позднее 1 марта года, следующего за годом, на который были установлены плановые показатели надежности и энергетической эффективности объектов теплоснабжения. Информация о фактических значениях указанных показателей направляется теплоснабжающей организацией в органы регулирования и публикуется в открытом </w:t>
      </w:r>
      <w:r>
        <w:rPr>
          <w:rFonts w:ascii="Calibri" w:hAnsi="Calibri" w:cs="Calibri"/>
        </w:rPr>
        <w:lastRenderedPageBreak/>
        <w:t>доступе на официальном сайте теплоснабжающей организации в информационно-телекоммуникационной сети "Интернет".</w:t>
      </w:r>
    </w:p>
    <w:p w:rsidR="002C5E94" w:rsidRDefault="002C5E94" w:rsidP="002C5E94">
      <w:pPr>
        <w:autoSpaceDE w:val="0"/>
        <w:autoSpaceDN w:val="0"/>
        <w:adjustRightInd w:val="0"/>
        <w:spacing w:after="0" w:line="240" w:lineRule="auto"/>
        <w:ind w:firstLine="540"/>
        <w:jc w:val="both"/>
        <w:rPr>
          <w:rFonts w:ascii="Calibri" w:hAnsi="Calibri" w:cs="Calibri"/>
        </w:rPr>
      </w:pPr>
      <w:r>
        <w:rPr>
          <w:rFonts w:ascii="Calibri" w:hAnsi="Calibri" w:cs="Calibri"/>
        </w:rPr>
        <w:t>42. Отчетные данные теплоснабжающей организации о достижении плановых значений показателей надежности и энергетической эффективности объектов теплоснабжения направляются в орган регулирования одновременно с информацией о фактических значениях указанных показателей не позднее 15 календарных дней со дня получения запроса от органа регулирования любым доступным способом, позволяющим подтвердить получение информации органом регулирования.</w:t>
      </w:r>
    </w:p>
    <w:p w:rsidR="002C5E94" w:rsidRDefault="002C5E94" w:rsidP="002C5E94">
      <w:pPr>
        <w:autoSpaceDE w:val="0"/>
        <w:autoSpaceDN w:val="0"/>
        <w:adjustRightInd w:val="0"/>
        <w:spacing w:after="0" w:line="240" w:lineRule="auto"/>
        <w:ind w:firstLine="540"/>
        <w:jc w:val="both"/>
        <w:rPr>
          <w:rFonts w:ascii="Calibri" w:hAnsi="Calibri" w:cs="Calibri"/>
        </w:rPr>
      </w:pPr>
    </w:p>
    <w:p w:rsidR="002C5E94" w:rsidRDefault="002C5E94" w:rsidP="002C5E94">
      <w:pPr>
        <w:autoSpaceDE w:val="0"/>
        <w:autoSpaceDN w:val="0"/>
        <w:adjustRightInd w:val="0"/>
        <w:spacing w:after="0" w:line="240" w:lineRule="auto"/>
        <w:ind w:firstLine="540"/>
        <w:jc w:val="both"/>
        <w:rPr>
          <w:rFonts w:ascii="Calibri" w:hAnsi="Calibri" w:cs="Calibri"/>
        </w:rPr>
      </w:pPr>
    </w:p>
    <w:p w:rsidR="00000000" w:rsidRDefault="002C5E94"/>
    <w:sectPr w:rsidR="00000000" w:rsidSect="00472A00">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2C5E94"/>
    <w:rsid w:val="002C5E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5E9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C5E9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8DA24125EBF5897900151D1FD62E462A172781F55C006DC0C0E1F3386DDA019C3C50538786F1EE9f821D" TargetMode="External"/><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image" Target="media/image15.wmf"/><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1.wmf"/><Relationship Id="rId34" Type="http://schemas.openxmlformats.org/officeDocument/2006/relationships/hyperlink" Target="consultantplus://offline/ref=C8DA24125EBF5897900151D1FD62E462A170701952CE06DC0C0E1F3386DDA019C3C50538786E1EEEf827D" TargetMode="External"/><Relationship Id="rId7" Type="http://schemas.openxmlformats.org/officeDocument/2006/relationships/hyperlink" Target="consultantplus://offline/ref=C8DA24125EBF5897900151D1FD62E462A170771F51CF06DC0C0E1F3386DDA019C3C50538786F1EE9f822D" TargetMode="Externa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6.wmf"/><Relationship Id="rId20" Type="http://schemas.openxmlformats.org/officeDocument/2006/relationships/image" Target="media/image10.wmf"/><Relationship Id="rId29" Type="http://schemas.openxmlformats.org/officeDocument/2006/relationships/image" Target="media/image18.wmf"/><Relationship Id="rId1" Type="http://schemas.openxmlformats.org/officeDocument/2006/relationships/styles" Target="styles.xml"/><Relationship Id="rId6" Type="http://schemas.openxmlformats.org/officeDocument/2006/relationships/hyperlink" Target="consultantplus://offline/ref=C8DA24125EBF5897900151D1FD62E462A170771F51CF06DC0C0E1F3386fD2DD" TargetMode="External"/><Relationship Id="rId11" Type="http://schemas.openxmlformats.org/officeDocument/2006/relationships/image" Target="media/image1.wmf"/><Relationship Id="rId24" Type="http://schemas.openxmlformats.org/officeDocument/2006/relationships/hyperlink" Target="consultantplus://offline/ref=C8DA24125EBF5897900151D1FD62E462A175751F53C006DC0C0E1F3386fD2DD" TargetMode="External"/><Relationship Id="rId32" Type="http://schemas.openxmlformats.org/officeDocument/2006/relationships/image" Target="media/image21.wmf"/><Relationship Id="rId37" Type="http://schemas.openxmlformats.org/officeDocument/2006/relationships/hyperlink" Target="consultantplus://offline/ref=C8DA24125EBF5897900151D1FD62E462A173741955CE06DC0C0E1F3386DDA019C3C50538786F1CECf82AD" TargetMode="External"/><Relationship Id="rId5" Type="http://schemas.openxmlformats.org/officeDocument/2006/relationships/hyperlink" Target="consultantplus://offline/ref=C8DA24125EBF5897900151D1FD62E462A176711A54CD06DC0C0E1F3386DDA019C3C50538786F1EE9f825D" TargetMode="External"/><Relationship Id="rId15" Type="http://schemas.openxmlformats.org/officeDocument/2006/relationships/image" Target="media/image5.wmf"/><Relationship Id="rId23" Type="http://schemas.openxmlformats.org/officeDocument/2006/relationships/image" Target="media/image13.wmf"/><Relationship Id="rId28" Type="http://schemas.openxmlformats.org/officeDocument/2006/relationships/image" Target="media/image17.wmf"/><Relationship Id="rId36" Type="http://schemas.openxmlformats.org/officeDocument/2006/relationships/hyperlink" Target="consultantplus://offline/ref=C8DA24125EBF5897900151D1FD62E462A170701952CE06DC0C0E1F3386DDA019C3C50538786E1FEAf821D" TargetMode="External"/><Relationship Id="rId10" Type="http://schemas.openxmlformats.org/officeDocument/2006/relationships/hyperlink" Target="consultantplus://offline/ref=C8DA24125EBF5897900151D1FD62E462A173781D54C006DC0C0E1F3386DDA019C3C505f32CD" TargetMode="External"/><Relationship Id="rId19" Type="http://schemas.openxmlformats.org/officeDocument/2006/relationships/image" Target="media/image9.wmf"/><Relationship Id="rId31" Type="http://schemas.openxmlformats.org/officeDocument/2006/relationships/image" Target="media/image20.wmf"/><Relationship Id="rId4" Type="http://schemas.openxmlformats.org/officeDocument/2006/relationships/hyperlink" Target="consultantplus://offline/ref=C8DA24125EBF5897900151D1FD62E462A170771F51CF06DC0C0E1F3386DDA019C3C5053878f627D" TargetMode="External"/><Relationship Id="rId9" Type="http://schemas.openxmlformats.org/officeDocument/2006/relationships/hyperlink" Target="consultantplus://offline/ref=C8DA24125EBF5897900151D1FD62E462A173781D54C006DC0C0E1F3386DDA019C3C5053Af728D"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hyperlink" Target="consultantplus://offline/ref=C8DA24125EBF5897900151D1FD62E462A170741E57CC06DC0C0E1F3386DDA019C3C50538786F1BEEf822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4851</Words>
  <Characters>27652</Characters>
  <Application>Microsoft Office Word</Application>
  <DocSecurity>0</DocSecurity>
  <Lines>230</Lines>
  <Paragraphs>64</Paragraphs>
  <ScaleCrop>false</ScaleCrop>
  <Company>Администрация города Бузулука</Company>
  <LinksUpToDate>false</LinksUpToDate>
  <CharactersWithSpaces>32439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Пименов</dc:creator>
  <cp:keywords/>
  <dc:description/>
  <cp:lastModifiedBy>Пименов</cp:lastModifiedBy>
  <cp:revision>2</cp:revision>
  <dcterms:created xsi:type="dcterms:W3CDTF">2014-11-05T03:54:00Z</dcterms:created>
  <dcterms:modified xsi:type="dcterms:W3CDTF">2014-11-05T03:54:00Z</dcterms:modified>
</cp:coreProperties>
</file>